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B509C" w14:textId="77777777" w:rsidR="00AA53E5" w:rsidRDefault="00000000">
      <w:pPr>
        <w:spacing w:after="160"/>
      </w:pPr>
      <w:r>
        <w:rPr>
          <w:b/>
          <w:bCs/>
          <w:color w:val="1A3A5C"/>
          <w:sz w:val="28"/>
          <w:szCs w:val="28"/>
        </w:rPr>
        <w:t>SMART METER REFUSAL: FORMAL OBJECTION AND DEFAULT NOTICE</w:t>
      </w:r>
    </w:p>
    <w:p w14:paraId="65D03B86" w14:textId="77777777" w:rsidR="00AA53E5" w:rsidRDefault="00000000">
      <w:pPr>
        <w:spacing w:after="80"/>
      </w:pPr>
      <w:r>
        <w:rPr>
          <w:i/>
          <w:iCs/>
          <w:color w:val="444444"/>
          <w:sz w:val="21"/>
          <w:szCs w:val="21"/>
        </w:rPr>
        <w:t xml:space="preserve">A comprehensive objection </w:t>
      </w:r>
      <w:proofErr w:type="gramStart"/>
      <w:r>
        <w:rPr>
          <w:i/>
          <w:iCs/>
          <w:color w:val="444444"/>
          <w:sz w:val="21"/>
          <w:szCs w:val="21"/>
        </w:rPr>
        <w:t>notice</w:t>
      </w:r>
      <w:proofErr w:type="gramEnd"/>
      <w:r>
        <w:rPr>
          <w:i/>
          <w:iCs/>
          <w:color w:val="444444"/>
          <w:sz w:val="21"/>
          <w:szCs w:val="21"/>
        </w:rPr>
        <w:t xml:space="preserve"> for Australian residential electricity customers — Version 3</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17008FB6" w14:textId="77777777">
        <w:tc>
          <w:tcPr>
            <w:tcW w:w="9026" w:type="dxa"/>
            <w:tcBorders>
              <w:top w:val="single" w:sz="4" w:space="0" w:color="3B82F6"/>
              <w:left w:val="single" w:sz="14" w:space="0" w:color="3B82F6"/>
              <w:bottom w:val="single" w:sz="4" w:space="0" w:color="3B82F6"/>
              <w:right w:val="single" w:sz="4" w:space="0" w:color="3B82F6"/>
            </w:tcBorders>
            <w:shd w:val="clear" w:color="auto" w:fill="E8F0FE"/>
            <w:tcMar>
              <w:top w:w="120" w:type="dxa"/>
              <w:left w:w="200" w:type="dxa"/>
              <w:bottom w:w="120" w:type="dxa"/>
              <w:right w:w="200" w:type="dxa"/>
            </w:tcMar>
          </w:tcPr>
          <w:p w14:paraId="00887AA2" w14:textId="77777777" w:rsidR="00AA53E5" w:rsidRDefault="00000000">
            <w:pPr>
              <w:spacing w:before="60" w:after="60"/>
            </w:pPr>
            <w:proofErr w:type="gramStart"/>
            <w:r>
              <w:rPr>
                <w:b/>
                <w:bCs/>
                <w:color w:val="1D4E8F"/>
              </w:rPr>
              <w:t>ℹ️  HOW</w:t>
            </w:r>
            <w:proofErr w:type="gramEnd"/>
            <w:r>
              <w:rPr>
                <w:b/>
                <w:bCs/>
                <w:color w:val="1D4E8F"/>
              </w:rPr>
              <w:t xml:space="preserve"> TO USE THIS TEMPLATE</w:t>
            </w:r>
          </w:p>
          <w:p w14:paraId="0ED546B6" w14:textId="77777777" w:rsidR="00AA53E5" w:rsidRDefault="00000000">
            <w:pPr>
              <w:spacing w:before="50" w:after="50"/>
            </w:pPr>
            <w:r>
              <w:rPr>
                <w:sz w:val="20"/>
                <w:szCs w:val="20"/>
              </w:rPr>
              <w:t>This letter is designed to be adapted for any Australian residential customer facing a smart meter installation they have not consented to. It operates across all NEM jurisdictions (QLD, NSW, VIC, SA, TAS, ACT).</w:t>
            </w:r>
          </w:p>
          <w:p w14:paraId="27066DE4" w14:textId="77777777" w:rsidR="00AA53E5" w:rsidRDefault="00AA53E5">
            <w:pPr>
              <w:spacing w:before="50" w:after="50"/>
            </w:pPr>
          </w:p>
          <w:p w14:paraId="3CB28487" w14:textId="77777777" w:rsidR="00AA53E5" w:rsidRDefault="00000000">
            <w:pPr>
              <w:spacing w:before="50" w:after="50"/>
            </w:pPr>
            <w:r>
              <w:rPr>
                <w:sz w:val="20"/>
                <w:szCs w:val="20"/>
              </w:rPr>
              <w:t>Instructions:</w:t>
            </w:r>
          </w:p>
          <w:p w14:paraId="2793162F" w14:textId="77777777" w:rsidR="00AA53E5" w:rsidRDefault="00000000">
            <w:pPr>
              <w:spacing w:before="50" w:after="50"/>
            </w:pPr>
            <w:r>
              <w:rPr>
                <w:sz w:val="20"/>
                <w:szCs w:val="20"/>
              </w:rPr>
              <w:t>1. Complete every amber pencil box with your personal details before sending.</w:t>
            </w:r>
          </w:p>
          <w:p w14:paraId="50C6D0DB" w14:textId="77777777" w:rsidR="00AA53E5" w:rsidRDefault="00000000">
            <w:pPr>
              <w:spacing w:before="50" w:after="50"/>
            </w:pPr>
            <w:r>
              <w:rPr>
                <w:sz w:val="20"/>
                <w:szCs w:val="20"/>
              </w:rPr>
              <w:t>2. Read each section carefully and remove any that do not apply to your circumstances.</w:t>
            </w:r>
          </w:p>
          <w:p w14:paraId="76473BD8" w14:textId="77777777" w:rsidR="00AA53E5" w:rsidRDefault="00000000">
            <w:pPr>
              <w:spacing w:before="50" w:after="50"/>
            </w:pPr>
            <w:r>
              <w:rPr>
                <w:sz w:val="20"/>
                <w:szCs w:val="20"/>
              </w:rPr>
              <w:t>3. Section 2 (Commonwealth Statutory Grounds) applies in full if your existing meter was installed before 1 January 2013. Check your installation date before serving.</w:t>
            </w:r>
          </w:p>
          <w:p w14:paraId="25CFC8F4" w14:textId="77777777" w:rsidR="00AA53E5" w:rsidRDefault="00000000">
            <w:pPr>
              <w:spacing w:before="50" w:after="50"/>
            </w:pPr>
            <w:r>
              <w:rPr>
                <w:sz w:val="20"/>
                <w:szCs w:val="20"/>
              </w:rPr>
              <w:t>4. Add your own GP letter reference in Section 10 once you have medical documentation.</w:t>
            </w:r>
          </w:p>
          <w:p w14:paraId="2F5CF94E" w14:textId="77777777" w:rsidR="00AA53E5" w:rsidRDefault="00000000">
            <w:pPr>
              <w:spacing w:before="50" w:after="50"/>
            </w:pPr>
            <w:r>
              <w:rPr>
                <w:sz w:val="20"/>
                <w:szCs w:val="20"/>
              </w:rPr>
              <w:t>5. Send by registered post AND email to your retailer's compliance address simultaneously. Keep proof of delivery.</w:t>
            </w:r>
          </w:p>
          <w:p w14:paraId="1CD4F5D0" w14:textId="77777777" w:rsidR="00AA53E5" w:rsidRDefault="00000000">
            <w:pPr>
              <w:spacing w:before="50" w:after="50"/>
            </w:pPr>
            <w:r>
              <w:rPr>
                <w:sz w:val="20"/>
                <w:szCs w:val="20"/>
              </w:rPr>
              <w:t>6. Do not rely on phone calls. Everything must be in writing.</w:t>
            </w:r>
          </w:p>
          <w:p w14:paraId="30E6E330" w14:textId="77777777" w:rsidR="00AA53E5" w:rsidRDefault="00AA53E5">
            <w:pPr>
              <w:spacing w:before="50" w:after="50"/>
            </w:pPr>
          </w:p>
          <w:p w14:paraId="24A66BE0" w14:textId="77777777" w:rsidR="00AA53E5" w:rsidRDefault="00000000">
            <w:pPr>
              <w:spacing w:before="50" w:after="50"/>
            </w:pPr>
            <w:r>
              <w:rPr>
                <w:sz w:val="20"/>
                <w:szCs w:val="20"/>
              </w:rPr>
              <w:t>This template operates on thirteen documented argument vectors across regulatory, scientific, Commonwealth statutory, legal, commercial, and property rights dimensions. The criminal code provisions in Section 8 reflect the legal framework articulated by Tasmanian barrister Raymond J. Broomhall LLB GDLP.</w:t>
            </w:r>
          </w:p>
          <w:p w14:paraId="1F853623" w14:textId="77777777" w:rsidR="00AA53E5" w:rsidRDefault="00AA53E5">
            <w:pPr>
              <w:spacing w:before="50" w:after="50"/>
            </w:pPr>
          </w:p>
          <w:p w14:paraId="547A9450" w14:textId="77777777" w:rsidR="00AA53E5" w:rsidRDefault="00000000">
            <w:pPr>
              <w:spacing w:before="50" w:after="50"/>
            </w:pPr>
            <w:r>
              <w:rPr>
                <w:sz w:val="20"/>
                <w:szCs w:val="20"/>
              </w:rPr>
              <w:t>IMPORTANT: This template should be served simultaneously with the Conditional Acceptance Notice (CAN) template, which operates on a separate contractual and Commonwealth statutory track. The two instruments are complementary and mutually reinforcing.</w:t>
            </w:r>
          </w:p>
          <w:p w14:paraId="7D98925B" w14:textId="77777777" w:rsidR="00AA53E5" w:rsidRDefault="00AA53E5">
            <w:pPr>
              <w:spacing w:before="50" w:after="50"/>
            </w:pPr>
          </w:p>
          <w:p w14:paraId="6133B055" w14:textId="77777777" w:rsidR="00AA53E5" w:rsidRDefault="00000000">
            <w:pPr>
              <w:spacing w:before="50" w:after="50"/>
            </w:pPr>
            <w:r>
              <w:rPr>
                <w:sz w:val="20"/>
                <w:szCs w:val="20"/>
              </w:rPr>
              <w:t>This document is provided for educational purposes. It is not legal advice. Seek qualified legal counsel for your specific circumstances.</w:t>
            </w:r>
          </w:p>
        </w:tc>
      </w:tr>
    </w:tbl>
    <w:p w14:paraId="0B960300" w14:textId="77777777" w:rsidR="00AA53E5" w:rsidRDefault="00AA53E5">
      <w:pPr>
        <w:spacing w:before="55" w:after="55"/>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544D3591" w14:textId="77777777">
        <w:tc>
          <w:tcPr>
            <w:tcW w:w="9026" w:type="dxa"/>
            <w:tcBorders>
              <w:top w:val="single" w:sz="4" w:space="0" w:color="F59E0B"/>
              <w:left w:val="single" w:sz="14" w:space="0" w:color="F59E0B"/>
              <w:bottom w:val="single" w:sz="4" w:space="0" w:color="F59E0B"/>
              <w:right w:val="single" w:sz="4" w:space="0" w:color="F59E0B"/>
            </w:tcBorders>
            <w:shd w:val="clear" w:color="auto" w:fill="FFF3CD"/>
            <w:tcMar>
              <w:top w:w="120" w:type="dxa"/>
              <w:left w:w="200" w:type="dxa"/>
              <w:bottom w:w="120" w:type="dxa"/>
              <w:right w:w="200" w:type="dxa"/>
            </w:tcMar>
          </w:tcPr>
          <w:p w14:paraId="14FDCE3A" w14:textId="77777777" w:rsidR="00AA53E5" w:rsidRDefault="00000000">
            <w:pPr>
              <w:spacing w:before="60" w:after="60"/>
            </w:pPr>
            <w:proofErr w:type="gramStart"/>
            <w:r>
              <w:rPr>
                <w:b/>
                <w:bCs/>
                <w:color w:val="7B4F00"/>
              </w:rPr>
              <w:t>✎  COMPLETE</w:t>
            </w:r>
            <w:proofErr w:type="gramEnd"/>
            <w:r>
              <w:rPr>
                <w:b/>
                <w:bCs/>
                <w:color w:val="7B4F00"/>
              </w:rPr>
              <w:t xml:space="preserve"> THIS SECTION</w:t>
            </w:r>
          </w:p>
          <w:p w14:paraId="67DD3586" w14:textId="77777777" w:rsidR="00AA53E5" w:rsidRDefault="00000000">
            <w:pPr>
              <w:spacing w:before="50" w:after="50"/>
            </w:pPr>
            <w:r>
              <w:rPr>
                <w:sz w:val="20"/>
                <w:szCs w:val="20"/>
              </w:rPr>
              <w:t>Your full legal name</w:t>
            </w:r>
          </w:p>
          <w:p w14:paraId="2C5B4733" w14:textId="77777777" w:rsidR="00AA53E5" w:rsidRDefault="00000000">
            <w:pPr>
              <w:spacing w:before="50" w:after="50"/>
            </w:pPr>
            <w:r>
              <w:rPr>
                <w:sz w:val="20"/>
                <w:szCs w:val="20"/>
              </w:rPr>
              <w:t>Your street address</w:t>
            </w:r>
          </w:p>
          <w:p w14:paraId="44C72A1F" w14:textId="77777777" w:rsidR="00AA53E5" w:rsidRDefault="00000000">
            <w:pPr>
              <w:spacing w:before="50" w:after="50"/>
            </w:pPr>
            <w:r>
              <w:rPr>
                <w:sz w:val="20"/>
                <w:szCs w:val="20"/>
              </w:rPr>
              <w:t>Suburb, State, Postcode</w:t>
            </w:r>
          </w:p>
          <w:p w14:paraId="27A7C2C0" w14:textId="77777777" w:rsidR="00AA53E5" w:rsidRDefault="00000000">
            <w:pPr>
              <w:spacing w:before="50" w:after="50"/>
            </w:pPr>
            <w:r>
              <w:rPr>
                <w:sz w:val="20"/>
                <w:szCs w:val="20"/>
              </w:rPr>
              <w:t>Your email address</w:t>
            </w:r>
          </w:p>
          <w:p w14:paraId="69E71145" w14:textId="77777777" w:rsidR="00AA53E5" w:rsidRDefault="00AA53E5">
            <w:pPr>
              <w:spacing w:before="50" w:after="50"/>
            </w:pPr>
          </w:p>
          <w:p w14:paraId="608E75E1" w14:textId="77777777" w:rsidR="00AA53E5" w:rsidRDefault="00000000">
            <w:pPr>
              <w:spacing w:before="50" w:after="50"/>
            </w:pPr>
            <w:r>
              <w:rPr>
                <w:sz w:val="20"/>
                <w:szCs w:val="20"/>
              </w:rPr>
              <w:t>Date: [insert date of sending; this date starts the five-business-day default clock]</w:t>
            </w:r>
          </w:p>
        </w:tc>
      </w:tr>
    </w:tbl>
    <w:p w14:paraId="310CED0B" w14:textId="77777777" w:rsidR="00AA53E5" w:rsidRDefault="00AA53E5">
      <w:pPr>
        <w:spacing w:before="55" w:after="55"/>
      </w:pPr>
    </w:p>
    <w:p w14:paraId="57EE9204" w14:textId="77777777" w:rsidR="00AA53E5" w:rsidRDefault="00000000">
      <w:pPr>
        <w:spacing w:before="55" w:after="55"/>
      </w:pPr>
      <w:r>
        <w:t>To:</w:t>
      </w:r>
    </w:p>
    <w:p w14:paraId="7664872E" w14:textId="77777777" w:rsidR="00AA53E5" w:rsidRDefault="00000000">
      <w:pPr>
        <w:spacing w:before="55" w:after="55"/>
      </w:pPr>
      <w:r>
        <w:t>Compliance and Customer Service</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5523A66B" w14:textId="77777777">
        <w:tc>
          <w:tcPr>
            <w:tcW w:w="9026" w:type="dxa"/>
            <w:tcBorders>
              <w:top w:val="single" w:sz="4" w:space="0" w:color="F59E0B"/>
              <w:left w:val="single" w:sz="14" w:space="0" w:color="F59E0B"/>
              <w:bottom w:val="single" w:sz="4" w:space="0" w:color="F59E0B"/>
              <w:right w:val="single" w:sz="4" w:space="0" w:color="F59E0B"/>
            </w:tcBorders>
            <w:shd w:val="clear" w:color="auto" w:fill="FFF3CD"/>
            <w:tcMar>
              <w:top w:w="120" w:type="dxa"/>
              <w:left w:w="200" w:type="dxa"/>
              <w:bottom w:w="120" w:type="dxa"/>
              <w:right w:w="200" w:type="dxa"/>
            </w:tcMar>
          </w:tcPr>
          <w:p w14:paraId="09A2E6DA" w14:textId="77777777" w:rsidR="00AA53E5" w:rsidRDefault="00000000">
            <w:pPr>
              <w:spacing w:before="60" w:after="60"/>
            </w:pPr>
            <w:proofErr w:type="gramStart"/>
            <w:r>
              <w:rPr>
                <w:b/>
                <w:bCs/>
                <w:color w:val="7B4F00"/>
              </w:rPr>
              <w:t>✎  COMPLETE</w:t>
            </w:r>
            <w:proofErr w:type="gramEnd"/>
            <w:r>
              <w:rPr>
                <w:b/>
                <w:bCs/>
                <w:color w:val="7B4F00"/>
              </w:rPr>
              <w:t xml:space="preserve"> THIS SECTION</w:t>
            </w:r>
          </w:p>
          <w:p w14:paraId="497EE57A" w14:textId="77777777" w:rsidR="00AA53E5" w:rsidRDefault="00000000">
            <w:pPr>
              <w:spacing w:before="50" w:after="50"/>
            </w:pPr>
            <w:r>
              <w:rPr>
                <w:i/>
                <w:iCs/>
                <w:sz w:val="20"/>
                <w:szCs w:val="20"/>
              </w:rPr>
              <w:t>[Retailer full legal name and ABN, e.g. "Dodo Power &amp; Gas (M2 Energy Pty Ltd, ABN 15 123 155 840)"]</w:t>
            </w:r>
          </w:p>
          <w:p w14:paraId="24366093" w14:textId="77777777" w:rsidR="00AA53E5" w:rsidRDefault="00000000">
            <w:pPr>
              <w:spacing w:before="50" w:after="50"/>
            </w:pPr>
            <w:r>
              <w:rPr>
                <w:i/>
                <w:iCs/>
                <w:sz w:val="20"/>
                <w:szCs w:val="20"/>
              </w:rPr>
              <w:t>[Retailer compliance postal address and/or email address]</w:t>
            </w:r>
          </w:p>
        </w:tc>
      </w:tr>
    </w:tbl>
    <w:p w14:paraId="53B4277E" w14:textId="77777777" w:rsidR="00AA53E5" w:rsidRDefault="00AA53E5">
      <w:pPr>
        <w:spacing w:before="55" w:after="55"/>
      </w:pPr>
    </w:p>
    <w:p w14:paraId="415BF7B2" w14:textId="77777777" w:rsidR="00AA53E5" w:rsidRDefault="00000000">
      <w:pPr>
        <w:spacing w:before="110" w:after="60"/>
      </w:pPr>
      <w:r>
        <w:rPr>
          <w:b/>
          <w:bCs/>
        </w:rPr>
        <w:lastRenderedPageBreak/>
        <w:t>[Account number] | [Supply address] | NMI [your NMI number]</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7807ABCC" w14:textId="77777777">
        <w:tc>
          <w:tcPr>
            <w:tcW w:w="9026" w:type="dxa"/>
            <w:tcBorders>
              <w:top w:val="single" w:sz="4" w:space="0" w:color="3B82F6"/>
              <w:left w:val="single" w:sz="14" w:space="0" w:color="3B82F6"/>
              <w:bottom w:val="single" w:sz="4" w:space="0" w:color="3B82F6"/>
              <w:right w:val="single" w:sz="4" w:space="0" w:color="3B82F6"/>
            </w:tcBorders>
            <w:shd w:val="clear" w:color="auto" w:fill="E8F0FE"/>
            <w:tcMar>
              <w:top w:w="120" w:type="dxa"/>
              <w:left w:w="200" w:type="dxa"/>
              <w:bottom w:w="120" w:type="dxa"/>
              <w:right w:w="200" w:type="dxa"/>
            </w:tcMar>
          </w:tcPr>
          <w:p w14:paraId="003A493A" w14:textId="77777777" w:rsidR="00AA53E5" w:rsidRDefault="00000000">
            <w:pPr>
              <w:spacing w:before="60" w:after="60"/>
            </w:pPr>
            <w:proofErr w:type="gramStart"/>
            <w:r>
              <w:rPr>
                <w:b/>
                <w:bCs/>
                <w:color w:val="1D4E8F"/>
              </w:rPr>
              <w:t>ℹ️  WHERE</w:t>
            </w:r>
            <w:proofErr w:type="gramEnd"/>
            <w:r>
              <w:rPr>
                <w:b/>
                <w:bCs/>
                <w:color w:val="1D4E8F"/>
              </w:rPr>
              <w:t xml:space="preserve"> TO FIND YOUR DETAILS</w:t>
            </w:r>
          </w:p>
          <w:p w14:paraId="5717D637" w14:textId="77777777" w:rsidR="00AA53E5" w:rsidRDefault="00000000">
            <w:pPr>
              <w:spacing w:before="50" w:after="50"/>
            </w:pPr>
            <w:r>
              <w:rPr>
                <w:sz w:val="20"/>
                <w:szCs w:val="20"/>
              </w:rPr>
              <w:t>Account number: top right of any bill.</w:t>
            </w:r>
          </w:p>
          <w:p w14:paraId="4881D2E6" w14:textId="77777777" w:rsidR="00AA53E5" w:rsidRDefault="00000000">
            <w:pPr>
              <w:spacing w:before="50" w:after="50"/>
            </w:pPr>
            <w:r>
              <w:rPr>
                <w:sz w:val="20"/>
                <w:szCs w:val="20"/>
              </w:rPr>
              <w:t>Supply address: as printed on your bill (must match exactly).</w:t>
            </w:r>
          </w:p>
          <w:p w14:paraId="37849E64" w14:textId="77777777" w:rsidR="00AA53E5" w:rsidRDefault="00000000">
            <w:pPr>
              <w:spacing w:before="50" w:after="50"/>
            </w:pPr>
            <w:r>
              <w:rPr>
                <w:sz w:val="20"/>
                <w:szCs w:val="20"/>
              </w:rPr>
              <w:t>NMI (National Metering Identifier): on your bill, usually labelled "NMI" or "Meter number". It is typically 10 to 11 digits.</w:t>
            </w:r>
          </w:p>
          <w:p w14:paraId="75BD3E30" w14:textId="77777777" w:rsidR="00AA53E5" w:rsidRDefault="00000000">
            <w:pPr>
              <w:spacing w:before="50" w:after="50"/>
            </w:pPr>
            <w:r>
              <w:rPr>
                <w:sz w:val="20"/>
                <w:szCs w:val="20"/>
              </w:rPr>
              <w:t>Metering coordinator: named in any installation notice you have received (e.g. "PLUS ES", "</w:t>
            </w:r>
            <w:proofErr w:type="spellStart"/>
            <w:r>
              <w:rPr>
                <w:sz w:val="20"/>
                <w:szCs w:val="20"/>
              </w:rPr>
              <w:t>Intellihub</w:t>
            </w:r>
            <w:proofErr w:type="spellEnd"/>
            <w:r>
              <w:rPr>
                <w:sz w:val="20"/>
                <w:szCs w:val="20"/>
              </w:rPr>
              <w:t>").</w:t>
            </w:r>
          </w:p>
        </w:tc>
      </w:tr>
    </w:tbl>
    <w:p w14:paraId="5956B4C2" w14:textId="77777777" w:rsidR="00AA53E5" w:rsidRDefault="00AA53E5">
      <w:pPr>
        <w:spacing w:before="55" w:after="55"/>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5EAD1B74" w14:textId="77777777">
        <w:tc>
          <w:tcPr>
            <w:tcW w:w="9026" w:type="dxa"/>
            <w:tcBorders>
              <w:top w:val="single" w:sz="4" w:space="0" w:color="DC2626"/>
              <w:left w:val="single" w:sz="14" w:space="0" w:color="DC2626"/>
              <w:bottom w:val="single" w:sz="4" w:space="0" w:color="DC2626"/>
              <w:right w:val="single" w:sz="4" w:space="0" w:color="DC2626"/>
            </w:tcBorders>
            <w:shd w:val="clear" w:color="auto" w:fill="FEE2E2"/>
            <w:tcMar>
              <w:top w:w="120" w:type="dxa"/>
              <w:left w:w="200" w:type="dxa"/>
              <w:bottom w:w="120" w:type="dxa"/>
              <w:right w:w="200" w:type="dxa"/>
            </w:tcMar>
          </w:tcPr>
          <w:p w14:paraId="6E6155DC" w14:textId="77777777" w:rsidR="00AA53E5" w:rsidRDefault="00000000">
            <w:pPr>
              <w:spacing w:before="60" w:after="60"/>
            </w:pPr>
            <w:r>
              <w:rPr>
                <w:b/>
                <w:bCs/>
                <w:color w:val="7F1D1D"/>
              </w:rPr>
              <w:t>⚠</w:t>
            </w:r>
            <w:proofErr w:type="gramStart"/>
            <w:r>
              <w:rPr>
                <w:b/>
                <w:bCs/>
                <w:color w:val="7F1D1D"/>
              </w:rPr>
              <w:t>️  THIS</w:t>
            </w:r>
            <w:proofErr w:type="gramEnd"/>
            <w:r>
              <w:rPr>
                <w:b/>
                <w:bCs/>
                <w:color w:val="7F1D1D"/>
              </w:rPr>
              <w:t xml:space="preserve"> LETTER OPERATES AS AN AUTOMATIC DEFAULT NOTICE</w:t>
            </w:r>
          </w:p>
          <w:p w14:paraId="2727BB88" w14:textId="77777777" w:rsidR="00AA53E5" w:rsidRDefault="00000000">
            <w:pPr>
              <w:spacing w:before="50" w:after="50"/>
            </w:pPr>
            <w:r>
              <w:rPr>
                <w:sz w:val="20"/>
                <w:szCs w:val="20"/>
              </w:rPr>
              <w:t>This letter sets out grounds of objection and requires written responses to specific questions within five business days of the date above. If no adequate written response is received within that period, the default conditions stated in Section 13 are triggered automatically by the recipient's omission. No separate follow-up letter is required from you.</w:t>
            </w:r>
          </w:p>
          <w:p w14:paraId="3A520562" w14:textId="77777777" w:rsidR="00AA53E5" w:rsidRDefault="00AA53E5">
            <w:pPr>
              <w:spacing w:before="50" w:after="50"/>
            </w:pPr>
          </w:p>
          <w:p w14:paraId="77A5442F" w14:textId="77777777" w:rsidR="00AA53E5" w:rsidRDefault="00000000">
            <w:pPr>
              <w:spacing w:before="50" w:after="50"/>
            </w:pPr>
            <w:r>
              <w:rPr>
                <w:sz w:val="20"/>
                <w:szCs w:val="20"/>
              </w:rPr>
              <w:t>Five-business-day deadline falls on: [calculate and insert]</w:t>
            </w:r>
          </w:p>
          <w:p w14:paraId="1A35B923" w14:textId="77777777" w:rsidR="00AA53E5" w:rsidRDefault="00AA53E5">
            <w:pPr>
              <w:spacing w:before="50" w:after="50"/>
            </w:pPr>
          </w:p>
          <w:p w14:paraId="1A0C2326" w14:textId="77777777" w:rsidR="00AA53E5" w:rsidRDefault="00000000">
            <w:pPr>
              <w:spacing w:before="50" w:after="50"/>
            </w:pPr>
            <w:r>
              <w:rPr>
                <w:sz w:val="20"/>
                <w:szCs w:val="20"/>
              </w:rPr>
              <w:t>An adequate response means: written answers to every specific question posed in this letter, signed by an authorised officer of the organisation. Form letters, automated acknowledgements, and references to ARPANSA's website do not constitute adequate responses.</w:t>
            </w:r>
          </w:p>
        </w:tc>
      </w:tr>
    </w:tbl>
    <w:p w14:paraId="32032940" w14:textId="77777777" w:rsidR="00AA53E5" w:rsidRDefault="00AA53E5">
      <w:pPr>
        <w:spacing w:before="55" w:after="55"/>
      </w:pPr>
    </w:p>
    <w:p w14:paraId="3E525C9C" w14:textId="77777777" w:rsidR="00AA53E5" w:rsidRDefault="00000000">
      <w:pPr>
        <w:spacing w:before="110" w:after="110"/>
        <w:jc w:val="both"/>
      </w:pPr>
      <w:r>
        <w:t>To Whom It May Concern,</w:t>
      </w:r>
    </w:p>
    <w:p w14:paraId="78B796C6" w14:textId="77777777" w:rsidR="00AA53E5" w:rsidRDefault="00AA53E5">
      <w:pPr>
        <w:spacing w:before="55" w:after="55"/>
      </w:pPr>
    </w:p>
    <w:p w14:paraId="36201C6C" w14:textId="77777777" w:rsidR="00AA53E5" w:rsidRDefault="00000000">
      <w:pPr>
        <w:spacing w:before="110" w:after="110"/>
        <w:jc w:val="both"/>
      </w:pPr>
      <w:r>
        <w:t xml:space="preserve">I am writing in direct response to </w:t>
      </w:r>
      <w:r>
        <w:rPr>
          <w:i/>
          <w:iCs/>
        </w:rPr>
        <w:t>[describe the communication received, e.g. "your letter of [date] advising of a scheduled smart meter replacement at the above premises between [date range]"]</w:t>
      </w:r>
      <w:r>
        <w:t>. I treat this as a formal legal notice and require you to treat this response in precisely the same terms.</w:t>
      </w:r>
    </w:p>
    <w:p w14:paraId="08EF23B2" w14:textId="77777777" w:rsidR="00AA53E5" w:rsidRDefault="00AA53E5">
      <w:pPr>
        <w:spacing w:before="55" w:after="55"/>
      </w:pPr>
    </w:p>
    <w:p w14:paraId="59390994" w14:textId="77777777" w:rsidR="00AA53E5" w:rsidRDefault="00000000">
      <w:pPr>
        <w:spacing w:before="110" w:after="110"/>
        <w:jc w:val="both"/>
      </w:pPr>
      <w:r>
        <w:t>I will be plain. No smart meter, communicating or otherwise, will be installed at this property without my explicit written consent. That consent has not been given and will not be given without the conditions set out in full below. Your notice presents this matter as a settled administrative process: it is not. What follows is a detailed account of why, and a precise statement of what will happen if you proceed as though it were.</w:t>
      </w:r>
    </w:p>
    <w:p w14:paraId="7C314928" w14:textId="77777777" w:rsidR="00AA53E5" w:rsidRDefault="00AA53E5">
      <w:pPr>
        <w:spacing w:before="55" w:after="55"/>
      </w:pPr>
    </w:p>
    <w:p w14:paraId="09D06DEF" w14:textId="77777777" w:rsidR="00AA53E5" w:rsidRDefault="00000000">
      <w:pPr>
        <w:spacing w:before="110" w:after="110"/>
        <w:jc w:val="both"/>
      </w:pPr>
      <w:r>
        <w:t>I am not an uninformed objector. I have examined the regulatory framework; the scientific record; the documented institutional capture of the bodies underwriting the safety narrative; the liability architecture that attaches to your organisation the moment an installation proceeds against my expressed objection; and the commercial options available to me should engagement prove intractable. I ask you to read this letter with care and pass it immediately to someone with both the authority and the competence to act on it.</w:t>
      </w:r>
    </w:p>
    <w:p w14:paraId="1C161A9B" w14:textId="77777777" w:rsidR="00AA53E5" w:rsidRDefault="00AA53E5">
      <w:pPr>
        <w:spacing w:before="55" w:after="55"/>
      </w:pPr>
    </w:p>
    <w:p w14:paraId="1707694E" w14:textId="77777777" w:rsidR="00AA53E5" w:rsidRDefault="00000000">
      <w:pPr>
        <w:pStyle w:val="Heading1"/>
      </w:pPr>
      <w:r>
        <w:t>1. The Regulatory Mandate Is Procedurally and Scientifically Compromised</w:t>
      </w:r>
    </w:p>
    <w:p w14:paraId="125F8345" w14:textId="77777777" w:rsidR="00AA53E5" w:rsidRDefault="00000000">
      <w:pPr>
        <w:spacing w:before="110" w:after="110"/>
        <w:jc w:val="both"/>
      </w:pPr>
      <w:r>
        <w:lastRenderedPageBreak/>
        <w:t>The AEMC's November 2024 Accelerating Smart Meter Deployment rule, in force 1 June 2025, is the instrument your organisation will rely upon. I contest both its procedural legitimacy and the scientific authority it claims to carry, on documented grounds that are a matter of public record.</w:t>
      </w:r>
    </w:p>
    <w:p w14:paraId="753BAECD" w14:textId="77777777" w:rsidR="00AA53E5" w:rsidRDefault="00AA53E5">
      <w:pPr>
        <w:spacing w:before="55" w:after="55"/>
      </w:pPr>
    </w:p>
    <w:p w14:paraId="0DADEC48" w14:textId="77777777" w:rsidR="00AA53E5" w:rsidRDefault="00000000">
      <w:pPr>
        <w:spacing w:before="110" w:after="110"/>
        <w:jc w:val="both"/>
      </w:pPr>
      <w:r>
        <w:t>The AEMC is an economic market regulator, not a biomedical safety authority. It operates under the National Electricity Law, which requires it to act in the long-term interests of consumers with respect to safety: not merely price and reliability. The November 2024 determination was made without any independent biomedical safety review. The Commission's cost-benefit analysis was scoped exclusively to economic outcomes; health evidence, fire risk profiles, and the extensive peer-reviewed literature on non-thermal RF biological effects were structurally excluded from the analytical framework. The Commission purported to satisfy its statutory safety criterion by deferring to ARPANSA rather than conducting that analysis itself.</w:t>
      </w:r>
    </w:p>
    <w:p w14:paraId="644E38BB" w14:textId="77777777" w:rsidR="00AA53E5" w:rsidRDefault="00AA53E5">
      <w:pPr>
        <w:spacing w:before="55" w:after="55"/>
      </w:pPr>
    </w:p>
    <w:p w14:paraId="27E34F14" w14:textId="77777777" w:rsidR="00AA53E5" w:rsidRDefault="00000000">
      <w:pPr>
        <w:spacing w:before="110" w:after="110"/>
        <w:jc w:val="both"/>
      </w:pPr>
      <w:r>
        <w:t>That deferral is defective on five documented grounds.</w:t>
      </w:r>
    </w:p>
    <w:p w14:paraId="565D7061" w14:textId="77777777" w:rsidR="00AA53E5" w:rsidRDefault="00AA53E5">
      <w:pPr>
        <w:spacing w:before="55" w:after="55"/>
      </w:pPr>
    </w:p>
    <w:p w14:paraId="59AD2954" w14:textId="77777777" w:rsidR="00AA53E5" w:rsidRDefault="00000000">
      <w:pPr>
        <w:spacing w:before="110" w:after="110"/>
        <w:jc w:val="both"/>
      </w:pPr>
      <w:r>
        <w:rPr>
          <w:b/>
          <w:bCs/>
        </w:rPr>
        <w:t>First:</w:t>
      </w:r>
      <w:r>
        <w:t xml:space="preserve"> ARPANSA's own website carries the following disclaimer: "We do not accept any liability for any injury, loss or damage incurred by use of or reliance on the information provided in our website. The information cannot and does not take the place of professional or medical advice directly applicable to your own circumstances." The sole scientific authority the AEMC used to satisfy its statutory safety criterion formally disclaims all liability for harm arising from reliance on its own information. The circle of regulatory accountability is empty until the moment of physical installation; at that point your organisation becomes the entity that performed the act and the only party in the entire chain without a disclaimer.</w:t>
      </w:r>
    </w:p>
    <w:p w14:paraId="63177187" w14:textId="77777777" w:rsidR="00AA53E5" w:rsidRDefault="00AA53E5">
      <w:pPr>
        <w:spacing w:before="55" w:after="55"/>
      </w:pPr>
    </w:p>
    <w:p w14:paraId="156B251B" w14:textId="77777777" w:rsidR="00AA53E5" w:rsidRDefault="00000000">
      <w:pPr>
        <w:spacing w:before="110" w:after="110"/>
        <w:jc w:val="both"/>
      </w:pPr>
      <w:r>
        <w:rPr>
          <w:b/>
          <w:bCs/>
        </w:rPr>
        <w:t>Second:</w:t>
      </w:r>
      <w:r>
        <w:t xml:space="preserve"> ARPANSA's position derives from the ICNIRP thermal-only risk model, which structurally excludes non-thermal biological mechanisms from its safety calculations. Dr Don Maisch's doctoral thesis </w:t>
      </w:r>
      <w:r>
        <w:rPr>
          <w:i/>
          <w:iCs/>
        </w:rPr>
        <w:t>The Procrustean Approach: Setting Exposure Standards for Telecommunications Frequency Electromagnetic Radiation</w:t>
      </w:r>
      <w:r>
        <w:t xml:space="preserve"> (University of Wollongong, 2010, archived at https://ro.uow.edu.au/theses/3148/) documents in granular historical and sociological detail that the ICNIRP standard-setting process was shaped by political manipulation, military influence, and undisclosed industry conflicts of interest from the 1950s onwards. A dedicated chapter on Australia specifically documents that ARPANSA harmonised with ICNIRP through that same captured process rather than by conducting independent biomedical assessment.</w:t>
      </w:r>
    </w:p>
    <w:p w14:paraId="4A7B4736" w14:textId="77777777" w:rsidR="00AA53E5" w:rsidRDefault="00AA53E5">
      <w:pPr>
        <w:spacing w:before="55" w:after="55"/>
      </w:pPr>
    </w:p>
    <w:p w14:paraId="7667CA9D" w14:textId="77777777" w:rsidR="00AA53E5" w:rsidRDefault="00000000">
      <w:pPr>
        <w:spacing w:before="110" w:after="110"/>
        <w:jc w:val="both"/>
      </w:pPr>
      <w:r>
        <w:rPr>
          <w:b/>
          <w:bCs/>
        </w:rPr>
        <w:t>Third:</w:t>
      </w:r>
      <w:r>
        <w:t xml:space="preserve"> the rule change was initiated by a request lodged by SA Power Networks, </w:t>
      </w:r>
      <w:proofErr w:type="spellStart"/>
      <w:r>
        <w:t>Intellihub</w:t>
      </w:r>
      <w:proofErr w:type="spellEnd"/>
      <w:r>
        <w:t>, and Alinta Energy: all commercial parties with direct financial interests in accelerated deployment. No consumer body and no public health organisation was among the applicants. Energy Consumers Australia, in its formal submission to the AEMC's own Directions Paper in October 2024, stated that the Commission was making binding decisions before any evidence-based review of consumer health impacts had been conducted. That critique came from within the regulatory system itself.</w:t>
      </w:r>
    </w:p>
    <w:p w14:paraId="06D4EDBD" w14:textId="77777777" w:rsidR="00AA53E5" w:rsidRDefault="00AA53E5">
      <w:pPr>
        <w:spacing w:before="55" w:after="55"/>
      </w:pPr>
    </w:p>
    <w:p w14:paraId="31B11326" w14:textId="77777777" w:rsidR="00AA53E5" w:rsidRDefault="00000000">
      <w:pPr>
        <w:spacing w:before="110" w:after="110"/>
        <w:jc w:val="both"/>
      </w:pPr>
      <w:r>
        <w:rPr>
          <w:b/>
          <w:bCs/>
        </w:rPr>
        <w:t>Fourth:</w:t>
      </w:r>
      <w:r>
        <w:t xml:space="preserve"> the pattern of dismissing independent health evidence has clear parliamentary precedent. In 2000 and 2001, the Australian Senate conducted an inquiry into electromagnetic radiation. Dr Neil Cherry, Associate Professor of Environmental Health at Lincoln University, presented the only independent non-industry evidence before the committee, as the inquiry's </w:t>
      </w:r>
      <w:r>
        <w:lastRenderedPageBreak/>
        <w:t>chairperson Senator Lyn Allison formally recorded. Dr Cherry was attacked from the government benches while seated in the public gallery. Senator Allison later recorded in a formal Senate tribute that he "was attacked by the government because he dared to challenge the industry and the government line" and that his critics were "short on scientific argument and long on rhetoric." The AEMC's 2024 determination replicates this structure precisely: industry applicants, no independent health evidence, dismissal by procedural mechanism.</w:t>
      </w:r>
    </w:p>
    <w:p w14:paraId="71386813" w14:textId="77777777" w:rsidR="00AA53E5" w:rsidRDefault="00AA53E5">
      <w:pPr>
        <w:spacing w:before="55" w:after="55"/>
      </w:pPr>
    </w:p>
    <w:p w14:paraId="1BFDA7DA" w14:textId="77777777" w:rsidR="00AA53E5" w:rsidRDefault="00000000">
      <w:pPr>
        <w:spacing w:before="110" w:after="110"/>
        <w:jc w:val="both"/>
      </w:pPr>
      <w:r>
        <w:rPr>
          <w:b/>
          <w:bCs/>
        </w:rPr>
        <w:t>Fifth:</w:t>
      </w:r>
      <w:r>
        <w:t xml:space="preserve"> the energy distributors responsible for implementing this rule change have themselves submitted to the Australian Energy Regulator that pursuing forced replacement of legacy meters against resistant customers is not viable. In their Legacy Meter Replacement Plans filed with the AER in 2025, CitiPower, Powercor and United Energy submitted that pursuing further replacement activities for remaining resistant customers "would not be timely, cost-effective, fair and safe" and that the rule change "does not provide any mechanism for customers to object or seek relief on this basis." AusNet wrote in its own submission that it "need[s] to be respectful of our customers' preferences and concerns." Jemena Electricity Networks formally stated that it "will not replace meters where customers have clearly communicated their refusal to have smart meters installed" and has adopted a "light touch" and "walk away" strategy for any resistance encountered. These are formal regulatory submissions from the implementing distributors themselves: the mandate's own agents have publicly documented its limits.</w:t>
      </w:r>
    </w:p>
    <w:p w14:paraId="6D1D0EEA" w14:textId="77777777" w:rsidR="00AA53E5" w:rsidRDefault="00AA53E5">
      <w:pPr>
        <w:spacing w:before="55" w:after="55"/>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5F684BF3" w14:textId="77777777">
        <w:tc>
          <w:tcPr>
            <w:tcW w:w="9026" w:type="dxa"/>
            <w:tcBorders>
              <w:top w:val="single" w:sz="4" w:space="0" w:color="3B82F6"/>
              <w:left w:val="single" w:sz="14" w:space="0" w:color="3B82F6"/>
              <w:bottom w:val="single" w:sz="4" w:space="0" w:color="3B82F6"/>
              <w:right w:val="single" w:sz="4" w:space="0" w:color="3B82F6"/>
            </w:tcBorders>
            <w:shd w:val="clear" w:color="auto" w:fill="E8F0FE"/>
            <w:tcMar>
              <w:top w:w="120" w:type="dxa"/>
              <w:left w:w="200" w:type="dxa"/>
              <w:bottom w:w="120" w:type="dxa"/>
              <w:right w:w="200" w:type="dxa"/>
            </w:tcMar>
          </w:tcPr>
          <w:p w14:paraId="0ED2141B" w14:textId="77777777" w:rsidR="00AA53E5" w:rsidRDefault="00000000">
            <w:pPr>
              <w:spacing w:before="60" w:after="60"/>
            </w:pPr>
            <w:proofErr w:type="gramStart"/>
            <w:r>
              <w:rPr>
                <w:b/>
                <w:bCs/>
                <w:color w:val="1D4E8F"/>
              </w:rPr>
              <w:t>ℹ️  NOTE</w:t>
            </w:r>
            <w:proofErr w:type="gramEnd"/>
            <w:r>
              <w:rPr>
                <w:b/>
                <w:bCs/>
                <w:color w:val="1D4E8F"/>
              </w:rPr>
              <w:t xml:space="preserve"> FOR VICTORIAN CUSTOMERS</w:t>
            </w:r>
          </w:p>
          <w:p w14:paraId="2C5A1545" w14:textId="77777777" w:rsidR="00AA53E5" w:rsidRDefault="00000000">
            <w:pPr>
              <w:spacing w:before="50" w:after="50"/>
            </w:pPr>
            <w:r>
              <w:rPr>
                <w:sz w:val="20"/>
                <w:szCs w:val="20"/>
              </w:rPr>
              <w:t>The Victorian distributor admissions described in the Fifth ground above apply specifically in Victoria, where the original rollout was completed in 2013 and approximately 17,000 households retain legacy meters. The submissions cited are to the AER's Legacy Meter Replacement Plan process, 2025.</w:t>
            </w:r>
          </w:p>
          <w:p w14:paraId="16EEBA28" w14:textId="77777777" w:rsidR="00AA53E5" w:rsidRDefault="00000000">
            <w:pPr>
              <w:spacing w:before="50" w:after="50"/>
            </w:pPr>
            <w:r>
              <w:rPr>
                <w:sz w:val="20"/>
                <w:szCs w:val="20"/>
              </w:rPr>
              <w:t>Outside Victoria, the same Fifth ground applies in principle, but the specific distributor submissions are Victorian. Customers in other states should substitute any equivalent public statements by their own distributor.</w:t>
            </w:r>
          </w:p>
        </w:tc>
      </w:tr>
    </w:tbl>
    <w:p w14:paraId="3F3684B1" w14:textId="77777777" w:rsidR="00AA53E5" w:rsidRDefault="00AA53E5">
      <w:pPr>
        <w:spacing w:before="55" w:after="55"/>
      </w:pPr>
    </w:p>
    <w:p w14:paraId="298D44DB" w14:textId="77777777" w:rsidR="00AA53E5" w:rsidRDefault="00000000">
      <w:pPr>
        <w:spacing w:before="110" w:after="110"/>
        <w:jc w:val="both"/>
      </w:pPr>
      <w:r>
        <w:rPr>
          <w:b/>
          <w:bCs/>
        </w:rPr>
        <w:t>Required written answer:</w:t>
      </w:r>
      <w:r>
        <w:t xml:space="preserve"> Does your organisation accept that the AEMC's November 2024 determination fully discharged the NEO's statutory safety criterion? If so, state the specific basis upon which it did so.</w:t>
      </w:r>
    </w:p>
    <w:p w14:paraId="2B975522" w14:textId="77777777" w:rsidR="00AA53E5" w:rsidRDefault="00AA53E5">
      <w:pPr>
        <w:spacing w:before="55" w:after="55"/>
      </w:pPr>
    </w:p>
    <w:p w14:paraId="67A9CF71" w14:textId="77777777" w:rsidR="00AA53E5" w:rsidRDefault="00000000">
      <w:pPr>
        <w:pStyle w:val="Heading1"/>
      </w:pPr>
      <w:r>
        <w:t>2. Commonwealth Statutory Grounds: The Pre-2013 Meter Exemption</w:t>
      </w:r>
    </w:p>
    <w:p w14:paraId="788816F0" w14:textId="77777777" w:rsidR="00AA53E5" w:rsidRDefault="00000000">
      <w:pPr>
        <w:spacing w:before="110" w:after="110"/>
        <w:jc w:val="both"/>
      </w:pPr>
      <w:r>
        <w:t>Independently of the regulatory legitimacy challenge in Section 1, the proposed installation engages a question of Commonwealth statutory law that your organisation's notice has not addressed and that the AEMC's determination does not resolve: the permanent exemption under Regulation 5.6 of the National Trade Measurement Regulations 2009 (</w:t>
      </w:r>
      <w:proofErr w:type="spellStart"/>
      <w:r>
        <w:t>Cth</w:t>
      </w:r>
      <w:proofErr w:type="spellEnd"/>
      <w:r>
        <w:t>).</w:t>
      </w:r>
    </w:p>
    <w:p w14:paraId="17E4DCD1" w14:textId="77777777" w:rsidR="00AA53E5" w:rsidRDefault="00AA53E5">
      <w:pPr>
        <w:spacing w:before="55" w:after="55"/>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4BA8705E" w14:textId="77777777">
        <w:tc>
          <w:tcPr>
            <w:tcW w:w="9026" w:type="dxa"/>
            <w:tcBorders>
              <w:top w:val="single" w:sz="4" w:space="0" w:color="3B82F6"/>
              <w:left w:val="single" w:sz="14" w:space="0" w:color="3B82F6"/>
              <w:bottom w:val="single" w:sz="4" w:space="0" w:color="3B82F6"/>
              <w:right w:val="single" w:sz="4" w:space="0" w:color="3B82F6"/>
            </w:tcBorders>
            <w:shd w:val="clear" w:color="auto" w:fill="E8F0FE"/>
            <w:tcMar>
              <w:top w:w="120" w:type="dxa"/>
              <w:left w:w="200" w:type="dxa"/>
              <w:bottom w:w="120" w:type="dxa"/>
              <w:right w:w="200" w:type="dxa"/>
            </w:tcMar>
          </w:tcPr>
          <w:p w14:paraId="41F7F97E" w14:textId="77777777" w:rsidR="00AA53E5" w:rsidRDefault="00000000">
            <w:pPr>
              <w:spacing w:before="60" w:after="60"/>
            </w:pPr>
            <w:proofErr w:type="gramStart"/>
            <w:r>
              <w:rPr>
                <w:b/>
                <w:bCs/>
                <w:color w:val="1D4E8F"/>
              </w:rPr>
              <w:t>ℹ️  REGULATION</w:t>
            </w:r>
            <w:proofErr w:type="gramEnd"/>
            <w:r>
              <w:rPr>
                <w:b/>
                <w:bCs/>
                <w:color w:val="1D4E8F"/>
              </w:rPr>
              <w:t xml:space="preserve"> 5.6 NTMR 2009 (CTH): EXEMPT UTILITY METERS</w:t>
            </w:r>
          </w:p>
          <w:p w14:paraId="612B401F" w14:textId="77777777" w:rsidR="00AA53E5" w:rsidRDefault="00000000">
            <w:pPr>
              <w:spacing w:before="50" w:after="50"/>
            </w:pPr>
            <w:r>
              <w:rPr>
                <w:sz w:val="20"/>
                <w:szCs w:val="20"/>
              </w:rPr>
              <w:t>Regulation 5.6 of the National Trade Measurement Regulations 2009 (</w:t>
            </w:r>
            <w:proofErr w:type="spellStart"/>
            <w:r>
              <w:rPr>
                <w:sz w:val="20"/>
                <w:szCs w:val="20"/>
              </w:rPr>
              <w:t>Cth</w:t>
            </w:r>
            <w:proofErr w:type="spellEnd"/>
            <w:r>
              <w:rPr>
                <w:sz w:val="20"/>
                <w:szCs w:val="20"/>
              </w:rPr>
              <w:t>) provides that electricity meters installed before 1 January 2013 are exempted from the operation of section 4A of the National Measurement Act 1960 (</w:t>
            </w:r>
            <w:proofErr w:type="spellStart"/>
            <w:r>
              <w:rPr>
                <w:sz w:val="20"/>
                <w:szCs w:val="20"/>
              </w:rPr>
              <w:t>Cth</w:t>
            </w:r>
            <w:proofErr w:type="spellEnd"/>
            <w:r>
              <w:rPr>
                <w:sz w:val="20"/>
                <w:szCs w:val="20"/>
              </w:rPr>
              <w:t>). Section 4A governs the requirements for pattern approval and verification of measuring instruments used for trade.</w:t>
            </w:r>
          </w:p>
          <w:p w14:paraId="5347CDF0" w14:textId="77777777" w:rsidR="00AA53E5" w:rsidRDefault="00AA53E5">
            <w:pPr>
              <w:spacing w:before="50" w:after="50"/>
            </w:pPr>
          </w:p>
          <w:p w14:paraId="04B44084" w14:textId="77777777" w:rsidR="00AA53E5" w:rsidRDefault="00000000">
            <w:pPr>
              <w:spacing w:before="50" w:after="50"/>
            </w:pPr>
            <w:r>
              <w:rPr>
                <w:sz w:val="20"/>
                <w:szCs w:val="20"/>
              </w:rPr>
              <w:lastRenderedPageBreak/>
              <w:t>This exemption is confirmed in the AEMO's own published Guideline for Clarification of the National Measurement Act (v1.3): "electricity meters installed before 1 January 2013 are exempted from the operation of section 4A of the Act" and "an exemption will remain for meters installed before the date the exemption is lifted." For pre-2013 meters, no such lifting has occurred.</w:t>
            </w:r>
          </w:p>
          <w:p w14:paraId="121BB0A4" w14:textId="77777777" w:rsidR="00AA53E5" w:rsidRDefault="00AA53E5">
            <w:pPr>
              <w:spacing w:before="50" w:after="50"/>
            </w:pPr>
          </w:p>
          <w:p w14:paraId="4B544F41" w14:textId="77777777" w:rsidR="00AA53E5" w:rsidRDefault="00000000">
            <w:pPr>
              <w:spacing w:before="50" w:after="50"/>
            </w:pPr>
            <w:r>
              <w:rPr>
                <w:sz w:val="20"/>
                <w:szCs w:val="20"/>
              </w:rPr>
              <w:t>The National Measurement Act 1960 (</w:t>
            </w:r>
            <w:proofErr w:type="spellStart"/>
            <w:r>
              <w:rPr>
                <w:sz w:val="20"/>
                <w:szCs w:val="20"/>
              </w:rPr>
              <w:t>Cth</w:t>
            </w:r>
            <w:proofErr w:type="spellEnd"/>
            <w:r>
              <w:rPr>
                <w:sz w:val="20"/>
                <w:szCs w:val="20"/>
              </w:rPr>
              <w:t>) is a Commonwealth Act of Parliament. The AEMC's metering mandate is subordinate legislation made under the National Electricity (South Australia) Act 1996, adopted by NEM jurisdictions. Under section 109 of the Australian Constitution, Commonwealth law prevails over inconsistent state-derived subordinate legislation.</w:t>
            </w:r>
          </w:p>
          <w:p w14:paraId="7C715BFB" w14:textId="77777777" w:rsidR="00AA53E5" w:rsidRDefault="00AA53E5">
            <w:pPr>
              <w:spacing w:before="50" w:after="50"/>
            </w:pPr>
          </w:p>
          <w:p w14:paraId="23E2B78D" w14:textId="77777777" w:rsidR="00AA53E5" w:rsidRDefault="00000000">
            <w:pPr>
              <w:spacing w:before="50" w:after="50"/>
            </w:pPr>
            <w:r>
              <w:rPr>
                <w:sz w:val="20"/>
                <w:szCs w:val="20"/>
              </w:rPr>
              <w:t>Sources: National Trade Measurement Regulations 2009 (</w:t>
            </w:r>
            <w:proofErr w:type="spellStart"/>
            <w:r>
              <w:rPr>
                <w:sz w:val="20"/>
                <w:szCs w:val="20"/>
              </w:rPr>
              <w:t>Cth</w:t>
            </w:r>
            <w:proofErr w:type="spellEnd"/>
            <w:r>
              <w:rPr>
                <w:sz w:val="20"/>
                <w:szCs w:val="20"/>
              </w:rPr>
              <w:t>) reg 5.6; National Measurement Act 1960 (</w:t>
            </w:r>
            <w:proofErr w:type="spellStart"/>
            <w:r>
              <w:rPr>
                <w:sz w:val="20"/>
                <w:szCs w:val="20"/>
              </w:rPr>
              <w:t>Cth</w:t>
            </w:r>
            <w:proofErr w:type="spellEnd"/>
            <w:r>
              <w:rPr>
                <w:sz w:val="20"/>
                <w:szCs w:val="20"/>
              </w:rPr>
              <w:t>) s.4A; AEMO Guideline for Clarification of the National Measurement Act v1.3; Australian Constitution s.109.</w:t>
            </w:r>
          </w:p>
        </w:tc>
      </w:tr>
    </w:tbl>
    <w:p w14:paraId="17EB9F51" w14:textId="77777777" w:rsidR="00AA53E5" w:rsidRDefault="00AA53E5">
      <w:pPr>
        <w:spacing w:before="55" w:after="55"/>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2162C3DA" w14:textId="77777777">
        <w:tc>
          <w:tcPr>
            <w:tcW w:w="9026" w:type="dxa"/>
            <w:tcBorders>
              <w:top w:val="single" w:sz="4" w:space="0" w:color="F59E0B"/>
              <w:left w:val="single" w:sz="14" w:space="0" w:color="F59E0B"/>
              <w:bottom w:val="single" w:sz="4" w:space="0" w:color="F59E0B"/>
              <w:right w:val="single" w:sz="4" w:space="0" w:color="F59E0B"/>
            </w:tcBorders>
            <w:shd w:val="clear" w:color="auto" w:fill="FFF3CD"/>
            <w:tcMar>
              <w:top w:w="120" w:type="dxa"/>
              <w:left w:w="200" w:type="dxa"/>
              <w:bottom w:w="120" w:type="dxa"/>
              <w:right w:w="200" w:type="dxa"/>
            </w:tcMar>
          </w:tcPr>
          <w:p w14:paraId="454B9FBF" w14:textId="77777777" w:rsidR="00AA53E5" w:rsidRDefault="00000000">
            <w:pPr>
              <w:spacing w:before="60" w:after="60"/>
            </w:pPr>
            <w:proofErr w:type="gramStart"/>
            <w:r>
              <w:rPr>
                <w:b/>
                <w:bCs/>
                <w:color w:val="7B4F00"/>
              </w:rPr>
              <w:t>✎  COMPLETE</w:t>
            </w:r>
            <w:proofErr w:type="gramEnd"/>
            <w:r>
              <w:rPr>
                <w:b/>
                <w:bCs/>
                <w:color w:val="7B4F00"/>
              </w:rPr>
              <w:t xml:space="preserve"> THIS SECTION</w:t>
            </w:r>
          </w:p>
          <w:p w14:paraId="013C3A82" w14:textId="77777777" w:rsidR="00AA53E5" w:rsidRDefault="00000000">
            <w:pPr>
              <w:spacing w:before="50" w:after="50"/>
            </w:pPr>
            <w:r>
              <w:rPr>
                <w:sz w:val="20"/>
                <w:szCs w:val="20"/>
              </w:rPr>
              <w:t>Confirm whether your existing meter was installed before 1 January 2013: [Yes / No / Unknown]</w:t>
            </w:r>
          </w:p>
          <w:p w14:paraId="7E9D31B7" w14:textId="77777777" w:rsidR="00AA53E5" w:rsidRDefault="00AA53E5">
            <w:pPr>
              <w:spacing w:before="50" w:after="50"/>
            </w:pPr>
          </w:p>
          <w:p w14:paraId="6F8924ED" w14:textId="77777777" w:rsidR="00AA53E5" w:rsidRDefault="00000000">
            <w:pPr>
              <w:spacing w:before="50" w:after="50"/>
            </w:pPr>
            <w:r>
              <w:rPr>
                <w:i/>
                <w:iCs/>
                <w:sz w:val="20"/>
                <w:szCs w:val="20"/>
              </w:rPr>
              <w:t>Note: If YES, the following paragraphs apply in full and Section 2 is one of your strongest arguments.</w:t>
            </w:r>
          </w:p>
          <w:p w14:paraId="7B5A8F9B" w14:textId="77777777" w:rsidR="00AA53E5" w:rsidRDefault="00000000">
            <w:pPr>
              <w:spacing w:before="50" w:after="50"/>
            </w:pPr>
            <w:r>
              <w:rPr>
                <w:i/>
                <w:iCs/>
                <w:sz w:val="20"/>
                <w:szCs w:val="20"/>
              </w:rPr>
              <w:t>Note: If NO or UNKNOWN, check with your distributor before serving. Section 2 can still be served conditionally pending confirmation.</w:t>
            </w:r>
          </w:p>
          <w:p w14:paraId="5C4422B8" w14:textId="77777777" w:rsidR="00AA53E5" w:rsidRDefault="00AA53E5">
            <w:pPr>
              <w:spacing w:before="50" w:after="50"/>
            </w:pPr>
          </w:p>
          <w:p w14:paraId="3CF4DEF6" w14:textId="77777777" w:rsidR="00AA53E5" w:rsidRDefault="00000000">
            <w:pPr>
              <w:spacing w:before="50" w:after="50"/>
            </w:pPr>
            <w:r>
              <w:rPr>
                <w:sz w:val="20"/>
                <w:szCs w:val="20"/>
              </w:rPr>
              <w:t>Meter installation date (if known): [insert]</w:t>
            </w:r>
          </w:p>
          <w:p w14:paraId="191A4F59" w14:textId="77777777" w:rsidR="00AA53E5" w:rsidRDefault="00000000">
            <w:pPr>
              <w:spacing w:before="50" w:after="50"/>
            </w:pPr>
            <w:r>
              <w:rPr>
                <w:sz w:val="20"/>
                <w:szCs w:val="20"/>
              </w:rPr>
              <w:t>Source of date information: [property records / distributor confirmation / meter label / unknown]</w:t>
            </w:r>
          </w:p>
        </w:tc>
      </w:tr>
    </w:tbl>
    <w:p w14:paraId="650056B6" w14:textId="77777777" w:rsidR="00AA53E5" w:rsidRDefault="00AA53E5">
      <w:pPr>
        <w:spacing w:before="55" w:after="55"/>
      </w:pPr>
    </w:p>
    <w:p w14:paraId="590B801F" w14:textId="77777777" w:rsidR="00AA53E5" w:rsidRDefault="00000000">
      <w:pPr>
        <w:spacing w:before="110" w:after="110"/>
        <w:jc w:val="both"/>
      </w:pPr>
      <w:r>
        <w:t>The existing electricity meter at this premises was installed before 1 January 2013. It is therefore permanently exempted from the pattern approval and verification requirements of section 4A of the National Measurement Act 1960 (</w:t>
      </w:r>
      <w:proofErr w:type="spellStart"/>
      <w:r>
        <w:t>Cth</w:t>
      </w:r>
      <w:proofErr w:type="spellEnd"/>
      <w:r>
        <w:t>) by operation of Regulation 5.6. That exemption constitutes an accrued statutory right at Commonwealth level.</w:t>
      </w:r>
    </w:p>
    <w:p w14:paraId="293F16B4" w14:textId="77777777" w:rsidR="00AA53E5" w:rsidRDefault="00AA53E5">
      <w:pPr>
        <w:spacing w:before="55" w:after="55"/>
      </w:pPr>
    </w:p>
    <w:p w14:paraId="7456D160" w14:textId="77777777" w:rsidR="00AA53E5" w:rsidRDefault="00000000">
      <w:pPr>
        <w:spacing w:before="110" w:after="110"/>
        <w:jc w:val="both"/>
      </w:pPr>
      <w:r>
        <w:t>The AEMC's November 2024 determination contains no provision expressly extinguishing rights accrued under the National Measurement Act 1960 (</w:t>
      </w:r>
      <w:proofErr w:type="spellStart"/>
      <w:r>
        <w:t>Cth</w:t>
      </w:r>
      <w:proofErr w:type="spellEnd"/>
      <w:r>
        <w:t>) or the National Trade Measurement Regulations 2009 (</w:t>
      </w:r>
      <w:proofErr w:type="spellStart"/>
      <w:r>
        <w:t>Cth</w:t>
      </w:r>
      <w:proofErr w:type="spellEnd"/>
      <w:r>
        <w:t>). In the absence of express extinguishment language, the accrued statutory exemption survives: see Acts Interpretation Act 1901 (</w:t>
      </w:r>
      <w:proofErr w:type="spellStart"/>
      <w:r>
        <w:t>Cth</w:t>
      </w:r>
      <w:proofErr w:type="spellEnd"/>
      <w:r>
        <w:t>) section 46, which provides that the amendment or repeal of a legislative instrument does not affect rights accrued under it unless the contrary intention expressly appears. No such contrary intention appears in the November 2024 determination.</w:t>
      </w:r>
    </w:p>
    <w:p w14:paraId="41AB55D9" w14:textId="77777777" w:rsidR="00AA53E5" w:rsidRDefault="00AA53E5">
      <w:pPr>
        <w:spacing w:before="55" w:after="55"/>
      </w:pPr>
    </w:p>
    <w:p w14:paraId="650936FA" w14:textId="77777777" w:rsidR="00AA53E5" w:rsidRDefault="00000000">
      <w:pPr>
        <w:spacing w:before="110" w:after="110"/>
        <w:jc w:val="both"/>
      </w:pPr>
      <w:r>
        <w:t>The consequence is this: the mandatory replacement of a meter that is lawfully operating under a permanent Commonwealth statutory exemption, by subordinate legislation containing no express authority to extinguish that exemption, is prima facie inconsistent with the Commonwealth instrument. The Commonwealth instrument prevails under section 109 of the Constitution.</w:t>
      </w:r>
    </w:p>
    <w:p w14:paraId="2D8F0A29" w14:textId="77777777" w:rsidR="00AA53E5" w:rsidRDefault="00AA53E5">
      <w:pPr>
        <w:spacing w:before="55" w:after="55"/>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6C6AEE1F" w14:textId="77777777">
        <w:tc>
          <w:tcPr>
            <w:tcW w:w="9026" w:type="dxa"/>
            <w:tcBorders>
              <w:top w:val="single" w:sz="4" w:space="0" w:color="DC2626"/>
              <w:left w:val="single" w:sz="14" w:space="0" w:color="DC2626"/>
              <w:bottom w:val="single" w:sz="4" w:space="0" w:color="DC2626"/>
              <w:right w:val="single" w:sz="4" w:space="0" w:color="DC2626"/>
            </w:tcBorders>
            <w:shd w:val="clear" w:color="auto" w:fill="FEE2E2"/>
            <w:tcMar>
              <w:top w:w="120" w:type="dxa"/>
              <w:left w:w="200" w:type="dxa"/>
              <w:bottom w:w="120" w:type="dxa"/>
              <w:right w:w="200" w:type="dxa"/>
            </w:tcMar>
          </w:tcPr>
          <w:p w14:paraId="63858B9A" w14:textId="77777777" w:rsidR="00AA53E5" w:rsidRDefault="00000000">
            <w:pPr>
              <w:spacing w:before="60" w:after="60"/>
            </w:pPr>
            <w:r>
              <w:rPr>
                <w:b/>
                <w:bCs/>
                <w:color w:val="7F1D1D"/>
              </w:rPr>
              <w:t>⚠</w:t>
            </w:r>
            <w:proofErr w:type="gramStart"/>
            <w:r>
              <w:rPr>
                <w:b/>
                <w:bCs/>
                <w:color w:val="7F1D1D"/>
              </w:rPr>
              <w:t>️  ADDITIONAL</w:t>
            </w:r>
            <w:proofErr w:type="gramEnd"/>
            <w:r>
              <w:rPr>
                <w:b/>
                <w:bCs/>
                <w:color w:val="7F1D1D"/>
              </w:rPr>
              <w:t xml:space="preserve"> ISSUE: THE REPLACEMENT DEVICE MUST ITSELF COMPLY</w:t>
            </w:r>
          </w:p>
          <w:p w14:paraId="15498271" w14:textId="77777777" w:rsidR="00AA53E5" w:rsidRDefault="00000000">
            <w:pPr>
              <w:spacing w:before="50" w:after="50"/>
            </w:pPr>
            <w:r>
              <w:rPr>
                <w:sz w:val="20"/>
                <w:szCs w:val="20"/>
              </w:rPr>
              <w:lastRenderedPageBreak/>
              <w:t>If the existing pre-2013 meter is removed and a post-2013 smart meter installed in its place, that new meter is NOT covered by the Regulation 5.6 exemption. It must comply with section 4A of the National Measurement Act 1960 (</w:t>
            </w:r>
            <w:proofErr w:type="spellStart"/>
            <w:r>
              <w:rPr>
                <w:sz w:val="20"/>
                <w:szCs w:val="20"/>
              </w:rPr>
              <w:t>Cth</w:t>
            </w:r>
            <w:proofErr w:type="spellEnd"/>
            <w:r>
              <w:rPr>
                <w:sz w:val="20"/>
                <w:szCs w:val="20"/>
              </w:rPr>
              <w:t>): it must be of an approved pattern (pattern approval certificate required) and verified by an appointed Utility Meter Verifier prior to installation.</w:t>
            </w:r>
          </w:p>
          <w:p w14:paraId="401DE751" w14:textId="77777777" w:rsidR="00AA53E5" w:rsidRDefault="00AA53E5">
            <w:pPr>
              <w:spacing w:before="50" w:after="50"/>
            </w:pPr>
          </w:p>
          <w:p w14:paraId="563FE617" w14:textId="77777777" w:rsidR="00AA53E5" w:rsidRDefault="00000000">
            <w:pPr>
              <w:spacing w:before="50" w:after="50"/>
            </w:pPr>
            <w:r>
              <w:rPr>
                <w:sz w:val="20"/>
                <w:szCs w:val="20"/>
              </w:rPr>
              <w:t>I require written confirmation, prior to any installation date, that any replacement device proposed for this premises has been granted pattern approval under section 4A of the NMA 1960 (including the certificate number) and has been verified by an appointed Utility Meter Verifier. Installation of an unverified or unapproved device for use in trade is a potential offence under the National Measurement Act 1960 (</w:t>
            </w:r>
            <w:proofErr w:type="spellStart"/>
            <w:r>
              <w:rPr>
                <w:sz w:val="20"/>
                <w:szCs w:val="20"/>
              </w:rPr>
              <w:t>Cth</w:t>
            </w:r>
            <w:proofErr w:type="spellEnd"/>
            <w:r>
              <w:rPr>
                <w:sz w:val="20"/>
                <w:szCs w:val="20"/>
              </w:rPr>
              <w:t>).</w:t>
            </w:r>
          </w:p>
        </w:tc>
      </w:tr>
    </w:tbl>
    <w:p w14:paraId="5D3E1F6F" w14:textId="77777777" w:rsidR="00AA53E5" w:rsidRDefault="00AA53E5">
      <w:pPr>
        <w:spacing w:before="55" w:after="55"/>
      </w:pPr>
    </w:p>
    <w:p w14:paraId="3348CF0D" w14:textId="77777777" w:rsidR="00AA53E5" w:rsidRDefault="00000000">
      <w:pPr>
        <w:spacing w:before="110" w:after="110"/>
        <w:jc w:val="both"/>
      </w:pPr>
      <w:r>
        <w:rPr>
          <w:b/>
          <w:bCs/>
        </w:rPr>
        <w:t>Required written answer:</w:t>
      </w:r>
      <w:r>
        <w:t xml:space="preserve"> Does the AEMC's November 2024 determination contain express authority to extinguish the accrued statutory exemption under Regulation 5.6 of the National Trade Measurement Regulations 2009 (</w:t>
      </w:r>
      <w:proofErr w:type="spellStart"/>
      <w:r>
        <w:t>Cth</w:t>
      </w:r>
      <w:proofErr w:type="spellEnd"/>
      <w:r>
        <w:t>) applying to meters installed before 1 January 2013? If so, cite the specific provision. If no such authority has been identified, confirm in writing that your organisation accepts that this question requires resolution before any replacement at this premises can lawfully proceed.</w:t>
      </w:r>
    </w:p>
    <w:p w14:paraId="0B3BE484" w14:textId="77777777" w:rsidR="00AA53E5" w:rsidRDefault="00AA53E5">
      <w:pPr>
        <w:spacing w:before="55" w:after="55"/>
      </w:pPr>
    </w:p>
    <w:p w14:paraId="13BA57AD" w14:textId="77777777" w:rsidR="00AA53E5" w:rsidRDefault="00000000">
      <w:pPr>
        <w:pStyle w:val="Heading1"/>
      </w:pPr>
      <w:r>
        <w:t>3. The Scientific Record Directly Contradicts the Safety Narrative</w:t>
      </w:r>
    </w:p>
    <w:p w14:paraId="6EC23268" w14:textId="77777777" w:rsidR="00AA53E5" w:rsidRDefault="00000000">
      <w:pPr>
        <w:spacing w:before="110" w:after="110"/>
        <w:jc w:val="both"/>
      </w:pPr>
      <w:r>
        <w:t>ARPANSA's thermal-only model excludes from consideration the following peer-reviewed evidence, all of which bears directly on the safety of installing a communicating RF-emitting device at this premises:</w:t>
      </w:r>
    </w:p>
    <w:p w14:paraId="2B14A037" w14:textId="77777777" w:rsidR="00AA53E5" w:rsidRDefault="00AA53E5">
      <w:pPr>
        <w:spacing w:before="55" w:after="55"/>
      </w:pPr>
    </w:p>
    <w:p w14:paraId="51532F21" w14:textId="77777777" w:rsidR="00AA53E5" w:rsidRDefault="00000000">
      <w:pPr>
        <w:pStyle w:val="ListParagraph"/>
        <w:numPr>
          <w:ilvl w:val="0"/>
          <w:numId w:val="2"/>
        </w:numPr>
        <w:spacing w:before="75" w:after="75"/>
        <w:jc w:val="both"/>
      </w:pPr>
      <w:r>
        <w:t xml:space="preserve">A systematic review published in </w:t>
      </w:r>
      <w:r>
        <w:rPr>
          <w:i/>
          <w:iCs/>
        </w:rPr>
        <w:t>Environment International</w:t>
      </w:r>
      <w:r>
        <w:t xml:space="preserve"> (Mevissen, Straif et al., 2025) under WHO auspices concluded with high certainty that RF electromagnetic field exposure causes cancer in laboratory animals, including gliomas and malignant cardiac schwannomas: the same tumour types identified in the US National Toxicology Program's long-term RF study. These findings directly challenge ICNIRP's thermal-only threshold model.</w:t>
      </w:r>
    </w:p>
    <w:p w14:paraId="7F43D3F6" w14:textId="77777777" w:rsidR="00AA53E5" w:rsidRDefault="00000000">
      <w:pPr>
        <w:pStyle w:val="ListParagraph"/>
        <w:numPr>
          <w:ilvl w:val="0"/>
          <w:numId w:val="2"/>
        </w:numPr>
        <w:spacing w:before="75" w:after="75"/>
        <w:jc w:val="both"/>
      </w:pPr>
      <w:r>
        <w:t xml:space="preserve">The </w:t>
      </w:r>
      <w:proofErr w:type="spellStart"/>
      <w:r>
        <w:t>BioInitiative</w:t>
      </w:r>
      <w:proofErr w:type="spellEnd"/>
      <w:r>
        <w:t xml:space="preserve"> Report synthesised over 3,800 peer-reviewed studies documenting biological effects at levels below ICNIRP thresholds, including DNA strand breaks, chronic oxidative stress, neurological disruption, and reproductive harm.</w:t>
      </w:r>
    </w:p>
    <w:p w14:paraId="68276F70" w14:textId="77777777" w:rsidR="00AA53E5" w:rsidRDefault="00000000">
      <w:pPr>
        <w:pStyle w:val="ListParagraph"/>
        <w:numPr>
          <w:ilvl w:val="0"/>
          <w:numId w:val="2"/>
        </w:numPr>
        <w:spacing w:before="75" w:after="75"/>
        <w:jc w:val="both"/>
      </w:pPr>
      <w:r>
        <w:t>RF radiation has been classified as a Group 2B possible carcinogen by the IARC since 2011, with reclassification to a higher category under active international scientific consideration. The European Environmental Agency has noted publicly that in over 30 years of classifying cancer risks covering around 900 agents, IARC very rarely downgrades its judgements: in most cases tentative carcinogens become more certain carcinogens as evidence accumulates.</w:t>
      </w:r>
    </w:p>
    <w:p w14:paraId="4BEB0B41" w14:textId="77777777" w:rsidR="00AA53E5" w:rsidRDefault="00000000">
      <w:pPr>
        <w:pStyle w:val="ListParagraph"/>
        <w:numPr>
          <w:ilvl w:val="0"/>
          <w:numId w:val="2"/>
        </w:numPr>
        <w:spacing w:before="75" w:after="75"/>
        <w:jc w:val="both"/>
      </w:pPr>
      <w:r>
        <w:t>The US Court of Appeals for the DC Circuit in 2021 ordered the FCC to explain why its RF guidelines adequately protect against non-cancer harms, finding the FCC had simply ignored peer-reviewed scientific evidence submitted to it.</w:t>
      </w:r>
    </w:p>
    <w:p w14:paraId="131BA837" w14:textId="77777777" w:rsidR="00AA53E5" w:rsidRDefault="00000000">
      <w:pPr>
        <w:pStyle w:val="ListParagraph"/>
        <w:numPr>
          <w:ilvl w:val="0"/>
          <w:numId w:val="2"/>
        </w:numPr>
        <w:spacing w:before="75" w:after="75"/>
        <w:jc w:val="both"/>
      </w:pPr>
      <w:r>
        <w:t>France's ANFR tested 141 mobile phones in 2023 under real-world conditions and found the iPhone 12 registering 43% above the EU limb SAR limit. Forty-two devices across multiple manufacturers faced imposed sale stops. The European Commission upheld France's findings in August 2025. The certification system ARPANSA, ACMA, and the AEMC all rely upon was independently found to be systematically inadequate under real-world conditions.</w:t>
      </w:r>
    </w:p>
    <w:p w14:paraId="2710F32A" w14:textId="77777777" w:rsidR="00AA53E5" w:rsidRDefault="00000000">
      <w:pPr>
        <w:pStyle w:val="ListParagraph"/>
        <w:numPr>
          <w:ilvl w:val="0"/>
          <w:numId w:val="2"/>
        </w:numPr>
        <w:spacing w:before="75" w:after="75"/>
        <w:jc w:val="both"/>
      </w:pPr>
      <w:r>
        <w:lastRenderedPageBreak/>
        <w:t>At the US Senate Commerce Committee hearing of 6 February 2019, wireless industry executives acknowledged under direct questioning that no safety research had been conducted on 5G frequencies by industry, the FCC, or the FDA. Senator Richard Blumenthal concluded on the public record that regulators and industry alike were "flying blind" on 5G health and safety.</w:t>
      </w:r>
    </w:p>
    <w:p w14:paraId="504D5A0A" w14:textId="77777777" w:rsidR="00AA53E5" w:rsidRDefault="00000000">
      <w:pPr>
        <w:pStyle w:val="ListParagraph"/>
        <w:numPr>
          <w:ilvl w:val="0"/>
          <w:numId w:val="2"/>
        </w:numPr>
        <w:spacing w:before="75" w:after="75"/>
        <w:jc w:val="both"/>
      </w:pPr>
      <w:r>
        <w:t xml:space="preserve">A peer-reviewed Australian clinical study (Maisch, Podd &amp; Rapley, 2002, </w:t>
      </w:r>
      <w:r>
        <w:rPr>
          <w:i/>
          <w:iCs/>
        </w:rPr>
        <w:t>Journal of the Australasian College of Nutritional and Environmental Medicine</w:t>
      </w:r>
      <w:r>
        <w:t>) found that the electrical distribution meter box located on a bedroom wall was the single largest identified residential EMF exposure source in a group of Chronic Fatigue Syndrome patients. This finding is directly relevant to the proximity of the proposed installation to occupied areas at this premises.</w:t>
      </w:r>
    </w:p>
    <w:p w14:paraId="42840BEC" w14:textId="77777777" w:rsidR="00AA53E5" w:rsidRDefault="00000000">
      <w:pPr>
        <w:pStyle w:val="ListParagraph"/>
        <w:numPr>
          <w:ilvl w:val="0"/>
          <w:numId w:val="2"/>
        </w:numPr>
        <w:spacing w:before="75" w:after="75"/>
        <w:jc w:val="both"/>
      </w:pPr>
      <w:r>
        <w:t>Australia's own Commonwealth Scientific and Industrial Research Organisation (CSIRO) conducted an independent statistical analysis of the electromagnetic bioeffects provocation study designed by the Australian Centre for Electromagnetic Bioeffects Research (ACEBR): the principal domestic research body whose findings underpin ARPANSA's position on electromagnetic hypersensitivity. Dr David McDonald, CSIRO scientist and statistician, concluded in writing that the proposed experimental design "cannot be used to achieve the stated aim" and that the "scientific and statistical shortcomings of the proposed study are each serious flaws in themselves" rendering the proposal "scientifically indefensible." ARPANSA defers to ACEBR; ACEBR's foundational methodology was found scientifically indefensible by CSIRO. That is not an independent safety chain: it is a closed loop.</w:t>
      </w:r>
    </w:p>
    <w:p w14:paraId="5ECA31DA" w14:textId="77777777" w:rsidR="00AA53E5" w:rsidRDefault="00000000">
      <w:pPr>
        <w:pStyle w:val="ListParagraph"/>
        <w:numPr>
          <w:ilvl w:val="0"/>
          <w:numId w:val="2"/>
        </w:numPr>
        <w:spacing w:before="75" w:after="75"/>
        <w:jc w:val="both"/>
      </w:pPr>
      <w:r>
        <w:t xml:space="preserve">At the 5th Asian and Oceanic IRPA Regional Congress on Radiation Protection (AOCRP-5), hosted by ARPANSA in Melbourne in May 2018, Dr Dariusz Leszczynski, adjunct professor of biochemistry at the University of Helsinki and chief editor of </w:t>
      </w:r>
      <w:r>
        <w:rPr>
          <w:i/>
          <w:iCs/>
        </w:rPr>
        <w:t>Frontiers in Radiation and Health</w:t>
      </w:r>
      <w:r>
        <w:t>, specifically called for urgent biomedical research on 5G millimetre waves because existing research was so limited as to make safety conclusions impossible. This call for urgent research was made at ARPANSA's own hosted conference. The AEMC's 2024 determination was made six years after that call, without the research having been conducted.</w:t>
      </w:r>
    </w:p>
    <w:p w14:paraId="0DE75F3A" w14:textId="77777777" w:rsidR="00AA53E5" w:rsidRDefault="00000000">
      <w:pPr>
        <w:pStyle w:val="ListParagraph"/>
        <w:numPr>
          <w:ilvl w:val="0"/>
          <w:numId w:val="2"/>
        </w:numPr>
        <w:spacing w:before="75" w:after="75"/>
        <w:jc w:val="both"/>
      </w:pPr>
      <w:r>
        <w:t xml:space="preserve">Neufeld and Kuster, writing in </w:t>
      </w:r>
      <w:r>
        <w:rPr>
          <w:i/>
          <w:iCs/>
        </w:rPr>
        <w:t>Health Physics</w:t>
      </w:r>
      <w:r>
        <w:t xml:space="preserve"> (December 2018), found that permanent tissue damage from tissue heating may occur after short exposures to 5G millimetre wave pulse trains and stated there is an urgent need for new thermal safety standards to address the health risks possible with this technology. Current ICNIRP limits, on which ARPANSA relies, were described as inadequate for the pulse characteristics of 5G transmissions.</w:t>
      </w:r>
    </w:p>
    <w:p w14:paraId="003CDE2F" w14:textId="77777777" w:rsidR="00AA53E5" w:rsidRDefault="00AA53E5">
      <w:pPr>
        <w:spacing w:before="55" w:after="55"/>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0DE41A79" w14:textId="77777777">
        <w:tc>
          <w:tcPr>
            <w:tcW w:w="9026" w:type="dxa"/>
            <w:tcBorders>
              <w:top w:val="single" w:sz="4" w:space="0" w:color="3B82F6"/>
              <w:left w:val="single" w:sz="14" w:space="0" w:color="3B82F6"/>
              <w:bottom w:val="single" w:sz="4" w:space="0" w:color="3B82F6"/>
              <w:right w:val="single" w:sz="4" w:space="0" w:color="3B82F6"/>
            </w:tcBorders>
            <w:shd w:val="clear" w:color="auto" w:fill="E8F0FE"/>
            <w:tcMar>
              <w:top w:w="120" w:type="dxa"/>
              <w:left w:w="200" w:type="dxa"/>
              <w:bottom w:w="120" w:type="dxa"/>
              <w:right w:w="200" w:type="dxa"/>
            </w:tcMar>
          </w:tcPr>
          <w:p w14:paraId="3A2467B3" w14:textId="77777777" w:rsidR="00AA53E5" w:rsidRDefault="00000000">
            <w:pPr>
              <w:spacing w:before="60" w:after="60"/>
            </w:pPr>
            <w:proofErr w:type="gramStart"/>
            <w:r>
              <w:rPr>
                <w:b/>
                <w:bCs/>
                <w:color w:val="1D4E8F"/>
              </w:rPr>
              <w:t>ℹ️  OPTIONAL</w:t>
            </w:r>
            <w:proofErr w:type="gramEnd"/>
            <w:r>
              <w:rPr>
                <w:b/>
                <w:bCs/>
                <w:color w:val="1D4E8F"/>
              </w:rPr>
              <w:t>: ADD YOUR OWN CLINICAL EVIDENCE</w:t>
            </w:r>
          </w:p>
          <w:p w14:paraId="21AB0177" w14:textId="77777777" w:rsidR="00AA53E5" w:rsidRDefault="00000000">
            <w:pPr>
              <w:spacing w:before="50" w:after="50"/>
            </w:pPr>
            <w:r>
              <w:rPr>
                <w:sz w:val="20"/>
                <w:szCs w:val="20"/>
              </w:rPr>
              <w:t>If you have medical documentation of symptoms, add a sentence here referencing it:</w:t>
            </w:r>
          </w:p>
          <w:p w14:paraId="38640660" w14:textId="77777777" w:rsidR="00AA53E5" w:rsidRDefault="00000000">
            <w:pPr>
              <w:spacing w:before="50" w:after="50"/>
            </w:pPr>
            <w:r>
              <w:rPr>
                <w:sz w:val="20"/>
                <w:szCs w:val="20"/>
              </w:rPr>
              <w:t>"I additionally note that I have obtained a supporting clinical assessment from my medical practitioner, attached, documenting [describe symptoms] and advising that minimising my radiofrequency exposure is medically appropriate."</w:t>
            </w:r>
          </w:p>
          <w:p w14:paraId="70556A09" w14:textId="77777777" w:rsidR="00AA53E5" w:rsidRDefault="00AA53E5">
            <w:pPr>
              <w:spacing w:before="50" w:after="50"/>
            </w:pPr>
          </w:p>
          <w:p w14:paraId="17D1E152" w14:textId="77777777" w:rsidR="00AA53E5" w:rsidRDefault="00000000">
            <w:pPr>
              <w:spacing w:before="50" w:after="50"/>
            </w:pPr>
            <w:r>
              <w:rPr>
                <w:sz w:val="20"/>
                <w:szCs w:val="20"/>
              </w:rPr>
              <w:t>Useful resources to share with your GP before the appointment:</w:t>
            </w:r>
          </w:p>
          <w:p w14:paraId="69BDB89D" w14:textId="77777777" w:rsidR="00AA53E5" w:rsidRDefault="00000000">
            <w:pPr>
              <w:spacing w:before="50" w:after="50"/>
            </w:pPr>
            <w:r>
              <w:rPr>
                <w:i/>
                <w:iCs/>
                <w:sz w:val="20"/>
                <w:szCs w:val="20"/>
              </w:rPr>
              <w:t xml:space="preserve">→ </w:t>
            </w:r>
            <w:proofErr w:type="spellStart"/>
            <w:r>
              <w:rPr>
                <w:i/>
                <w:iCs/>
                <w:sz w:val="20"/>
                <w:szCs w:val="20"/>
              </w:rPr>
              <w:t>BioInitiative</w:t>
            </w:r>
            <w:proofErr w:type="spellEnd"/>
            <w:r>
              <w:rPr>
                <w:i/>
                <w:iCs/>
                <w:sz w:val="20"/>
                <w:szCs w:val="20"/>
              </w:rPr>
              <w:t xml:space="preserve"> Report: https://bioinitiative.org</w:t>
            </w:r>
          </w:p>
          <w:p w14:paraId="2E605739" w14:textId="77777777" w:rsidR="00AA53E5" w:rsidRDefault="00000000">
            <w:pPr>
              <w:spacing w:before="50" w:after="50"/>
            </w:pPr>
            <w:r>
              <w:rPr>
                <w:i/>
                <w:iCs/>
                <w:sz w:val="20"/>
                <w:szCs w:val="20"/>
              </w:rPr>
              <w:t>→ Physicians for Safe Technology: https://mdsafetech.org/problems/5g/</w:t>
            </w:r>
          </w:p>
          <w:p w14:paraId="40FEE6AC" w14:textId="77777777" w:rsidR="00AA53E5" w:rsidRDefault="00000000">
            <w:pPr>
              <w:spacing w:before="50" w:after="50"/>
            </w:pPr>
            <w:r>
              <w:rPr>
                <w:i/>
                <w:iCs/>
                <w:sz w:val="20"/>
                <w:szCs w:val="20"/>
              </w:rPr>
              <w:t>→ Maisch (2010) Procrustean Approach: https://ro.uow.edu.au/theses/3148/</w:t>
            </w:r>
          </w:p>
        </w:tc>
      </w:tr>
    </w:tbl>
    <w:p w14:paraId="02D83A19" w14:textId="77777777" w:rsidR="00AA53E5" w:rsidRDefault="00AA53E5">
      <w:pPr>
        <w:spacing w:before="55" w:after="55"/>
      </w:pPr>
    </w:p>
    <w:p w14:paraId="3C399604" w14:textId="77777777" w:rsidR="00AA53E5" w:rsidRDefault="00000000">
      <w:pPr>
        <w:spacing w:before="110" w:after="110"/>
        <w:jc w:val="both"/>
      </w:pPr>
      <w:r>
        <w:rPr>
          <w:b/>
          <w:bCs/>
        </w:rPr>
        <w:t>Required written answer:</w:t>
      </w:r>
      <w:r>
        <w:t xml:space="preserve"> Identify the specific peer-reviewed biomedical basis upon which your organisation asserts that the installation of a communicating smart meter at this premises </w:t>
      </w:r>
      <w:r>
        <w:lastRenderedPageBreak/>
        <w:t>is safe for the occupants. A reference to ARPANSA's website, whose disclaimer is quoted in Section 1, will not constitute an adequate response.</w:t>
      </w:r>
    </w:p>
    <w:p w14:paraId="083CF57F" w14:textId="77777777" w:rsidR="00AA53E5" w:rsidRDefault="00AA53E5">
      <w:pPr>
        <w:spacing w:before="55" w:after="55"/>
      </w:pPr>
    </w:p>
    <w:p w14:paraId="25A2ABAE" w14:textId="77777777" w:rsidR="00AA53E5" w:rsidRDefault="00000000">
      <w:pPr>
        <w:pStyle w:val="Heading1"/>
      </w:pPr>
      <w:r>
        <w:t>4. The Global Insurance Market Has Already Priced the Risk</w:t>
      </w:r>
    </w:p>
    <w:p w14:paraId="6CA101EF" w14:textId="77777777" w:rsidR="00AA53E5" w:rsidRDefault="00000000">
      <w:pPr>
        <w:spacing w:before="110" w:after="110"/>
        <w:jc w:val="both"/>
      </w:pPr>
      <w:r>
        <w:t>If the regulatory safety narrative were credible, the global reinsurance market would underwrite the risk. It has refused to do so at any commercially viable price; and that refusal is more informative than any regulatory assertion.</w:t>
      </w:r>
    </w:p>
    <w:p w14:paraId="77D411DA" w14:textId="77777777" w:rsidR="00AA53E5" w:rsidRDefault="00AA53E5">
      <w:pPr>
        <w:spacing w:before="55" w:after="55"/>
      </w:pPr>
    </w:p>
    <w:p w14:paraId="1DBDC4EB" w14:textId="77777777" w:rsidR="00AA53E5" w:rsidRDefault="00000000">
      <w:pPr>
        <w:pStyle w:val="ListParagraph"/>
        <w:numPr>
          <w:ilvl w:val="0"/>
          <w:numId w:val="2"/>
        </w:numPr>
        <w:spacing w:before="75" w:after="75"/>
        <w:jc w:val="both"/>
      </w:pPr>
      <w:proofErr w:type="gramStart"/>
      <w:r>
        <w:t>Lloyd's</w:t>
      </w:r>
      <w:proofErr w:type="gramEnd"/>
      <w:r>
        <w:t xml:space="preserve"> of London, via CFC Underwriting, explicitly excludes from commercial liability policies any coverage for claims "directly or indirectly arising out of, resulting from or contributed to by electromagnetic fields, electromagnetic radiation, electromagnetism, radio waves or noise," stating its purpose as excluding "illnesses caused by continuous long-term non-ionising radiation exposure." This applies across the Lloyd's market as standard.</w:t>
      </w:r>
    </w:p>
    <w:p w14:paraId="1438346E" w14:textId="77777777" w:rsidR="00AA53E5" w:rsidRDefault="00000000">
      <w:pPr>
        <w:pStyle w:val="ListParagraph"/>
        <w:numPr>
          <w:ilvl w:val="0"/>
          <w:numId w:val="2"/>
        </w:numPr>
        <w:spacing w:before="75" w:after="75"/>
        <w:jc w:val="both"/>
      </w:pPr>
      <w:r>
        <w:t>Swiss Re has in successive SONAR emerging risk reports categorised electromagnetic field consequences as "high impact," noting a long-latency pattern explicitly compared to asbestos: early research inconclusive, harm emerging slowly over decades, liability ultimately vast.</w:t>
      </w:r>
    </w:p>
    <w:p w14:paraId="4B401742" w14:textId="77777777" w:rsidR="00AA53E5" w:rsidRDefault="00000000">
      <w:pPr>
        <w:pStyle w:val="ListParagraph"/>
        <w:numPr>
          <w:ilvl w:val="0"/>
          <w:numId w:val="2"/>
        </w:numPr>
        <w:spacing w:before="75" w:after="75"/>
        <w:jc w:val="both"/>
      </w:pPr>
      <w:r>
        <w:t>Swisscom, in its 2003 international patent application PCT/EP2003/000656, cited DNA damage and cancer risk from its own wireless technology: an admission in a legal document filed while its public communications said otherwise.</w:t>
      </w:r>
    </w:p>
    <w:p w14:paraId="74C91AC3" w14:textId="77777777" w:rsidR="00AA53E5" w:rsidRDefault="00000000">
      <w:pPr>
        <w:pStyle w:val="ListParagraph"/>
        <w:numPr>
          <w:ilvl w:val="0"/>
          <w:numId w:val="2"/>
        </w:numPr>
        <w:spacing w:before="75" w:after="75"/>
        <w:jc w:val="both"/>
      </w:pPr>
      <w:r>
        <w:t>Telstra acknowledged in its own annual report that insurance against electromagnetic radiation exposure risk was becoming increasingly difficult to obtain. The companies publicly asserting the technology is safe cannot obtain commercial insurance against the possibility that it is not.</w:t>
      </w:r>
    </w:p>
    <w:p w14:paraId="6214983C" w14:textId="77777777" w:rsidR="00AA53E5" w:rsidRDefault="00AA53E5">
      <w:pPr>
        <w:spacing w:before="55" w:after="55"/>
      </w:pPr>
    </w:p>
    <w:p w14:paraId="4B211721" w14:textId="77777777" w:rsidR="00AA53E5" w:rsidRDefault="00000000">
      <w:pPr>
        <w:spacing w:before="110" w:after="110"/>
        <w:jc w:val="both"/>
      </w:pPr>
      <w:r>
        <w:rPr>
          <w:b/>
          <w:bCs/>
        </w:rPr>
        <w:t>Required written answer:</w:t>
      </w:r>
      <w:r>
        <w:t xml:space="preserve"> Does your organisation hold insurance covering its liability arising from the installation of communicating smart meters on private residential properties against the expressed written objection of the property owner? If so, name the insurer, describe the policy terms, and confirm the policy has not been limited by any exclusion equivalent to Lloyd's CFC Exclusion 32.</w:t>
      </w:r>
    </w:p>
    <w:p w14:paraId="4F8124F4" w14:textId="77777777" w:rsidR="00AA53E5" w:rsidRDefault="00AA53E5">
      <w:pPr>
        <w:spacing w:before="55" w:after="55"/>
      </w:pPr>
    </w:p>
    <w:p w14:paraId="287387EC" w14:textId="77777777" w:rsidR="00AA53E5" w:rsidRDefault="00000000">
      <w:pPr>
        <w:pStyle w:val="Heading1"/>
      </w:pPr>
      <w:r>
        <w:t>5. Fire Risk, Wiring Standards, and the Indemnity Requirement</w:t>
      </w:r>
    </w:p>
    <w:p w14:paraId="7332360F" w14:textId="77777777" w:rsidR="00AA53E5" w:rsidRDefault="00000000">
      <w:pPr>
        <w:spacing w:before="110" w:after="110"/>
        <w:jc w:val="both"/>
      </w:pPr>
      <w:r>
        <w:t>Smart meters use a switch-mode power supply (SMPS) that generates high-frequency electrical transients propagating through a home's wiring as conducted emissions. This is not a theoretical concern.</w:t>
      </w:r>
    </w:p>
    <w:p w14:paraId="6850C8AB" w14:textId="77777777" w:rsidR="00AA53E5" w:rsidRDefault="00AA53E5">
      <w:pPr>
        <w:spacing w:before="55" w:after="55"/>
      </w:pPr>
    </w:p>
    <w:p w14:paraId="7E2F459F" w14:textId="77777777" w:rsidR="00AA53E5" w:rsidRDefault="00000000">
      <w:pPr>
        <w:pStyle w:val="ListParagraph"/>
        <w:numPr>
          <w:ilvl w:val="0"/>
          <w:numId w:val="2"/>
        </w:numPr>
        <w:spacing w:before="75" w:after="75"/>
        <w:jc w:val="both"/>
      </w:pPr>
      <w:r>
        <w:t>A Victorian house fire in Thornbury was directly attributed to a smart meter. The Metropolitan Fire Brigade's review concluded fires "could have been caused by faulty installation."</w:t>
      </w:r>
    </w:p>
    <w:p w14:paraId="768EEE7A" w14:textId="77777777" w:rsidR="00AA53E5" w:rsidRDefault="00000000">
      <w:pPr>
        <w:pStyle w:val="ListParagraph"/>
        <w:numPr>
          <w:ilvl w:val="0"/>
          <w:numId w:val="2"/>
        </w:numPr>
        <w:spacing w:before="75" w:after="75"/>
        <w:jc w:val="both"/>
      </w:pPr>
      <w:r>
        <w:t>Saskatchewan, Canada removed over 100,000 smart meters in 2014 following nine meter-linked fires. Portland General Electric in Oregon replaced 70,000 meters after fires were attributed to faulty internal disconnect switches.</w:t>
      </w:r>
    </w:p>
    <w:p w14:paraId="645FB920" w14:textId="77777777" w:rsidR="00AA53E5" w:rsidRDefault="00000000">
      <w:pPr>
        <w:pStyle w:val="ListParagraph"/>
        <w:numPr>
          <w:ilvl w:val="0"/>
          <w:numId w:val="2"/>
        </w:numPr>
        <w:spacing w:before="75" w:after="75"/>
        <w:jc w:val="both"/>
      </w:pPr>
      <w:r>
        <w:t xml:space="preserve">Forensic engineering analysis of one fire found all damage "consistent with a fire triggered by extreme heat at the defective switch contacts inside the meter": a fault </w:t>
      </w:r>
      <w:r>
        <w:lastRenderedPageBreak/>
        <w:t>zone inaccessible to the property owner and originating within the device itself. The liability chain runs directly to the installer.</w:t>
      </w:r>
    </w:p>
    <w:p w14:paraId="474DF5BD" w14:textId="77777777" w:rsidR="00AA53E5" w:rsidRDefault="00000000">
      <w:pPr>
        <w:pStyle w:val="ListParagraph"/>
        <w:numPr>
          <w:ilvl w:val="0"/>
          <w:numId w:val="2"/>
        </w:numPr>
        <w:spacing w:before="75" w:after="75"/>
        <w:jc w:val="both"/>
      </w:pPr>
      <w:r>
        <w:t>Australian distributors have a documented pattern of attending fire scenes to remove burned smart meters before investigators can examine them.</w:t>
      </w:r>
    </w:p>
    <w:p w14:paraId="14D929D5" w14:textId="77777777" w:rsidR="00AA53E5" w:rsidRDefault="00AA53E5">
      <w:pPr>
        <w:spacing w:before="55" w:after="55"/>
      </w:pPr>
    </w:p>
    <w:p w14:paraId="6A267F82" w14:textId="77777777" w:rsidR="00AA53E5" w:rsidRDefault="00000000">
      <w:pPr>
        <w:spacing w:before="110" w:after="110"/>
        <w:jc w:val="both"/>
      </w:pPr>
      <w:r>
        <w:t>This premises was constructed and wired in compliance with the version of AS/NZS 3000 (the Australian Wiring Rules) current at the time of construction. A smart meter's SMPS introduces conducted emission and over-current profiles that wiring was never designed, tested, or certified to accommodate. No independent electrical safety assessment has been conducted or offered.</w:t>
      </w:r>
    </w:p>
    <w:p w14:paraId="61F681BB" w14:textId="77777777" w:rsidR="00AA53E5" w:rsidRDefault="00AA53E5">
      <w:pPr>
        <w:spacing w:before="55" w:after="55"/>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70BC65D4" w14:textId="77777777">
        <w:tc>
          <w:tcPr>
            <w:tcW w:w="9026" w:type="dxa"/>
            <w:tcBorders>
              <w:top w:val="single" w:sz="4" w:space="0" w:color="3B82F6"/>
              <w:left w:val="single" w:sz="14" w:space="0" w:color="3B82F6"/>
              <w:bottom w:val="single" w:sz="4" w:space="0" w:color="3B82F6"/>
              <w:right w:val="single" w:sz="4" w:space="0" w:color="3B82F6"/>
            </w:tcBorders>
            <w:shd w:val="clear" w:color="auto" w:fill="E8F0FE"/>
            <w:tcMar>
              <w:top w:w="120" w:type="dxa"/>
              <w:left w:w="200" w:type="dxa"/>
              <w:bottom w:w="120" w:type="dxa"/>
              <w:right w:w="200" w:type="dxa"/>
            </w:tcMar>
          </w:tcPr>
          <w:p w14:paraId="48DBC52A" w14:textId="77777777" w:rsidR="00AA53E5" w:rsidRDefault="00000000">
            <w:pPr>
              <w:spacing w:before="60" w:after="60"/>
            </w:pPr>
            <w:proofErr w:type="gramStart"/>
            <w:r>
              <w:rPr>
                <w:b/>
                <w:bCs/>
                <w:color w:val="1D4E8F"/>
              </w:rPr>
              <w:t>ℹ️  NOTE</w:t>
            </w:r>
            <w:proofErr w:type="gramEnd"/>
            <w:r>
              <w:rPr>
                <w:b/>
                <w:bCs/>
                <w:color w:val="1D4E8F"/>
              </w:rPr>
              <w:t xml:space="preserve"> FOR OLDER PROPERTIES</w:t>
            </w:r>
          </w:p>
          <w:p w14:paraId="3227BB1E" w14:textId="77777777" w:rsidR="00AA53E5" w:rsidRDefault="00000000">
            <w:pPr>
              <w:spacing w:before="50" w:after="50"/>
            </w:pPr>
            <w:r>
              <w:rPr>
                <w:sz w:val="20"/>
                <w:szCs w:val="20"/>
              </w:rPr>
              <w:t>If your home was built before approximately 1990, the wiring compatibility argument is significantly stronger. Older wiring (aluminium wiring, or unsheathed TPS cable) may carry additional fire risk when exposed to SMPS-generated conducted emissions.</w:t>
            </w:r>
          </w:p>
          <w:p w14:paraId="39424617" w14:textId="77777777" w:rsidR="00AA53E5" w:rsidRDefault="00AA53E5">
            <w:pPr>
              <w:spacing w:before="50" w:after="50"/>
            </w:pPr>
          </w:p>
          <w:p w14:paraId="3E87B22D" w14:textId="77777777" w:rsidR="00AA53E5" w:rsidRDefault="00000000">
            <w:pPr>
              <w:spacing w:before="50" w:after="50"/>
            </w:pPr>
            <w:r>
              <w:rPr>
                <w:sz w:val="20"/>
                <w:szCs w:val="20"/>
              </w:rPr>
              <w:t>Property construction date (approximate): [insert]</w:t>
            </w:r>
          </w:p>
          <w:p w14:paraId="76CB4FAC" w14:textId="77777777" w:rsidR="00AA53E5" w:rsidRDefault="00000000">
            <w:pPr>
              <w:spacing w:before="50" w:after="50"/>
            </w:pPr>
            <w:r>
              <w:rPr>
                <w:sz w:val="20"/>
                <w:szCs w:val="20"/>
              </w:rPr>
              <w:t>Wiring type if known: [insert, or "unknown; no assessment has been offered or conducted"]</w:t>
            </w:r>
          </w:p>
        </w:tc>
      </w:tr>
    </w:tbl>
    <w:p w14:paraId="069B6909" w14:textId="77777777" w:rsidR="00AA53E5" w:rsidRDefault="00AA53E5">
      <w:pPr>
        <w:spacing w:before="55" w:after="55"/>
      </w:pPr>
    </w:p>
    <w:p w14:paraId="13192ADB" w14:textId="77777777" w:rsidR="00AA53E5" w:rsidRDefault="00000000">
      <w:pPr>
        <w:spacing w:before="110" w:after="110"/>
        <w:jc w:val="both"/>
      </w:pPr>
      <w:r>
        <w:rPr>
          <w:b/>
          <w:bCs/>
        </w:rPr>
        <w:t>Requirements before any installation may proceed:</w:t>
      </w:r>
      <w:r>
        <w:t xml:space="preserve"> (a) A written indemnity signed by an authorised officer of your organisation, accepting full and unconditional liability for any fire, electrical damage, structural damage, equipment damage, or insurance coverage failure arising from the installation or ongoing operation of any smart meter device at this premises; (b) written confirmation that an independent electrical safety assessment has been conducted by a licensed electrical engineer and that the existing wiring has been certified as compatible with smart meter SMPS technology; and (c) confirmation that the assessing engineer has no commercial relationship with your organisation or the metering coordinator.</w:t>
      </w:r>
    </w:p>
    <w:p w14:paraId="478DC9F5" w14:textId="77777777" w:rsidR="00AA53E5" w:rsidRDefault="00AA53E5">
      <w:pPr>
        <w:spacing w:before="55" w:after="55"/>
      </w:pPr>
    </w:p>
    <w:p w14:paraId="258990E6" w14:textId="77777777" w:rsidR="00AA53E5" w:rsidRDefault="00000000">
      <w:pPr>
        <w:spacing w:before="110" w:after="110"/>
        <w:jc w:val="both"/>
      </w:pPr>
      <w:r>
        <w:t>I will be notifying my home and contents insurer in writing of the proposed installation and the documented fire risk profile. The insurer's response will be preserved and will form part of any subsequent proceedings.</w:t>
      </w:r>
    </w:p>
    <w:p w14:paraId="298899AE" w14:textId="77777777" w:rsidR="00AA53E5" w:rsidRDefault="00AA53E5">
      <w:pPr>
        <w:spacing w:before="55" w:after="55"/>
      </w:pPr>
    </w:p>
    <w:p w14:paraId="787C5EAE" w14:textId="77777777" w:rsidR="00AA53E5" w:rsidRDefault="00000000">
      <w:pPr>
        <w:pStyle w:val="Heading1"/>
      </w:pPr>
      <w:r>
        <w:t>6. Remote Control, Surveillance, Billing, and Cybersecurity</w:t>
      </w:r>
    </w:p>
    <w:p w14:paraId="56493B6F" w14:textId="77777777" w:rsidR="00AA53E5" w:rsidRDefault="00000000">
      <w:pPr>
        <w:spacing w:before="110" w:after="110"/>
        <w:jc w:val="both"/>
      </w:pPr>
      <w:r>
        <w:t>My objections extend beyond health and fire safety. A communicating smart meter introduces a further set of harms to which I have not consented and will not consent.</w:t>
      </w:r>
    </w:p>
    <w:p w14:paraId="527A05D6" w14:textId="77777777" w:rsidR="00AA53E5" w:rsidRDefault="00AA53E5">
      <w:pPr>
        <w:spacing w:before="55" w:after="55"/>
      </w:pPr>
    </w:p>
    <w:p w14:paraId="2E3ECDE4" w14:textId="77777777" w:rsidR="00AA53E5" w:rsidRDefault="00000000">
      <w:pPr>
        <w:pStyle w:val="ListParagraph"/>
        <w:numPr>
          <w:ilvl w:val="0"/>
          <w:numId w:val="2"/>
        </w:numPr>
        <w:spacing w:before="75" w:after="75"/>
        <w:jc w:val="both"/>
      </w:pPr>
      <w:r>
        <w:t>Remote demand-side management: a communicating meter enables the distributor or retailer to remotely curtail, throttle, or disconnect my supply without prior notice or my agreement. I have not authorised any third party to remotely control equipment on my premises.</w:t>
      </w:r>
    </w:p>
    <w:p w14:paraId="3A6D73ED" w14:textId="77777777" w:rsidR="00AA53E5" w:rsidRDefault="00000000">
      <w:pPr>
        <w:pStyle w:val="ListParagraph"/>
        <w:numPr>
          <w:ilvl w:val="0"/>
          <w:numId w:val="2"/>
        </w:numPr>
        <w:spacing w:before="75" w:after="75"/>
        <w:jc w:val="both"/>
      </w:pPr>
      <w:r>
        <w:t>Billing integrity: digital smart meters have been associated with overbilling and billing errors. Remotely generated digital consumption data is substantially less independently verifiable than analogue metering. I require a written warranty that billing generated from any installed device will be independently auditable at my request and at no cost to me.</w:t>
      </w:r>
    </w:p>
    <w:p w14:paraId="14052B9C" w14:textId="77777777" w:rsidR="00AA53E5" w:rsidRDefault="00000000">
      <w:pPr>
        <w:pStyle w:val="ListParagraph"/>
        <w:numPr>
          <w:ilvl w:val="0"/>
          <w:numId w:val="2"/>
        </w:numPr>
        <w:spacing w:before="75" w:after="75"/>
        <w:jc w:val="both"/>
      </w:pPr>
      <w:r>
        <w:lastRenderedPageBreak/>
        <w:t>Cybersecurity: smart meters are networked devices and networked devices are attack surfaces. The US Congressional Research Service, in Report R42338 (February 2012), specifically identified smart meter data as presenting novel privacy and cybersecurity risks under multiple federal statutes and noted that detailed electricity usage data "offers a window into the lives of people inside of a home." I require written confirmation of the specific cybersecurity standards to which any device installed at this premises will comply, and written acceptance of liability for any breach.</w:t>
      </w:r>
    </w:p>
    <w:p w14:paraId="2566B15A" w14:textId="77777777" w:rsidR="00AA53E5" w:rsidRDefault="00000000">
      <w:pPr>
        <w:pStyle w:val="ListParagraph"/>
        <w:numPr>
          <w:ilvl w:val="0"/>
          <w:numId w:val="2"/>
        </w:numPr>
        <w:spacing w:before="75" w:after="75"/>
        <w:jc w:val="both"/>
      </w:pPr>
      <w:r>
        <w:t xml:space="preserve">Data privacy: 30-minute interval consumption data </w:t>
      </w:r>
      <w:proofErr w:type="gramStart"/>
      <w:r>
        <w:t>constitutes</w:t>
      </w:r>
      <w:proofErr w:type="gramEnd"/>
      <w:r>
        <w:t xml:space="preserve"> a detailed behavioural record of activity within my home. I have not consented to the generation, transmission, or storage of such data. I require written confirmation of what data will be collected, by whom, under what retention policy, and with what third-party access arrangements, before any installation proceeds.</w:t>
      </w:r>
    </w:p>
    <w:p w14:paraId="6FAE8D94" w14:textId="77777777" w:rsidR="00AA53E5" w:rsidRDefault="00AA53E5">
      <w:pPr>
        <w:spacing w:before="55" w:after="55"/>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7CB5F6D2" w14:textId="77777777">
        <w:tc>
          <w:tcPr>
            <w:tcW w:w="9026" w:type="dxa"/>
            <w:tcBorders>
              <w:top w:val="single" w:sz="4" w:space="0" w:color="3B82F6"/>
              <w:left w:val="single" w:sz="14" w:space="0" w:color="3B82F6"/>
              <w:bottom w:val="single" w:sz="4" w:space="0" w:color="3B82F6"/>
              <w:right w:val="single" w:sz="4" w:space="0" w:color="3B82F6"/>
            </w:tcBorders>
            <w:shd w:val="clear" w:color="auto" w:fill="E8F0FE"/>
            <w:tcMar>
              <w:top w:w="120" w:type="dxa"/>
              <w:left w:w="200" w:type="dxa"/>
              <w:bottom w:w="120" w:type="dxa"/>
              <w:right w:w="200" w:type="dxa"/>
            </w:tcMar>
          </w:tcPr>
          <w:p w14:paraId="167A5656" w14:textId="77777777" w:rsidR="00AA53E5" w:rsidRDefault="00000000">
            <w:pPr>
              <w:spacing w:before="60" w:after="60"/>
            </w:pPr>
            <w:proofErr w:type="gramStart"/>
            <w:r>
              <w:rPr>
                <w:b/>
                <w:bCs/>
                <w:color w:val="1D4E8F"/>
              </w:rPr>
              <w:t>ℹ️  IF</w:t>
            </w:r>
            <w:proofErr w:type="gramEnd"/>
            <w:r>
              <w:rPr>
                <w:b/>
                <w:bCs/>
                <w:color w:val="1D4E8F"/>
              </w:rPr>
              <w:t xml:space="preserve"> YOU HAVE SOLAR OR BATTERY STORAGE</w:t>
            </w:r>
          </w:p>
          <w:p w14:paraId="6E4EE68C" w14:textId="77777777" w:rsidR="00AA53E5" w:rsidRDefault="00000000">
            <w:pPr>
              <w:spacing w:before="50" w:after="50"/>
            </w:pPr>
            <w:r>
              <w:rPr>
                <w:sz w:val="20"/>
                <w:szCs w:val="20"/>
              </w:rPr>
              <w:t>If your premises has solar PV or battery storage, add the following to the remote demand-side management bullet:</w:t>
            </w:r>
          </w:p>
          <w:p w14:paraId="63EF89BC" w14:textId="77777777" w:rsidR="00AA53E5" w:rsidRDefault="00000000">
            <w:pPr>
              <w:spacing w:before="50" w:after="50"/>
            </w:pPr>
            <w:r>
              <w:rPr>
                <w:sz w:val="20"/>
                <w:szCs w:val="20"/>
              </w:rPr>
              <w:t>"Remote demand-side management also directly interferes with my [X kW] solar PV system and [describe battery storage], which I manage independently and have not authorised any third party to control."</w:t>
            </w:r>
          </w:p>
          <w:p w14:paraId="7783DB51" w14:textId="77777777" w:rsidR="00AA53E5" w:rsidRDefault="00AA53E5">
            <w:pPr>
              <w:spacing w:before="50" w:after="50"/>
            </w:pPr>
          </w:p>
          <w:p w14:paraId="1881B374" w14:textId="77777777" w:rsidR="00AA53E5" w:rsidRDefault="00000000">
            <w:pPr>
              <w:spacing w:before="50" w:after="50"/>
            </w:pPr>
            <w:r>
              <w:rPr>
                <w:sz w:val="20"/>
                <w:szCs w:val="20"/>
              </w:rPr>
              <w:t>Solar system size (kW): [insert or delete]</w:t>
            </w:r>
          </w:p>
          <w:p w14:paraId="42CE3AE3" w14:textId="77777777" w:rsidR="00AA53E5" w:rsidRDefault="00000000">
            <w:pPr>
              <w:spacing w:before="50" w:after="50"/>
            </w:pPr>
            <w:r>
              <w:rPr>
                <w:sz w:val="20"/>
                <w:szCs w:val="20"/>
              </w:rPr>
              <w:t>Battery storage (if any): [insert or delete]</w:t>
            </w:r>
          </w:p>
        </w:tc>
      </w:tr>
    </w:tbl>
    <w:p w14:paraId="6BCAC6C1" w14:textId="77777777" w:rsidR="00AA53E5" w:rsidRDefault="00AA53E5">
      <w:pPr>
        <w:spacing w:before="55" w:after="55"/>
      </w:pPr>
    </w:p>
    <w:p w14:paraId="5D37CCAD" w14:textId="77777777" w:rsidR="00AA53E5" w:rsidRDefault="00000000">
      <w:pPr>
        <w:pStyle w:val="Heading1"/>
      </w:pPr>
      <w:r>
        <w:t>7. Property Rights, Infrastructure Ownership, and Conditional Access</w:t>
      </w:r>
    </w:p>
    <w:p w14:paraId="40B3FEB6" w14:textId="77777777" w:rsidR="00AA53E5" w:rsidRDefault="00000000">
      <w:pPr>
        <w:spacing w:before="110" w:after="110"/>
        <w:jc w:val="both"/>
      </w:pPr>
      <w:r>
        <w:t>The meter box enclosure and all internal cabling from the connection point into my home are my property. I am responsible for their maintenance under state electrical regulations. The Queensland Electricity Regulation 2006 section 44 is titled "Placing meter or network device on customer's premises": the framing itself acknowledges that placement occurs on the customer's property. Equivalent provisions apply in all NEM jurisdictions.</w:t>
      </w:r>
    </w:p>
    <w:p w14:paraId="543F5B3E" w14:textId="77777777" w:rsidR="00AA53E5" w:rsidRDefault="00AA53E5">
      <w:pPr>
        <w:spacing w:before="55" w:after="55"/>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5C8CB715" w14:textId="77777777">
        <w:tc>
          <w:tcPr>
            <w:tcW w:w="9026" w:type="dxa"/>
            <w:tcBorders>
              <w:top w:val="single" w:sz="4" w:space="0" w:color="3B82F6"/>
              <w:left w:val="single" w:sz="14" w:space="0" w:color="3B82F6"/>
              <w:bottom w:val="single" w:sz="4" w:space="0" w:color="3B82F6"/>
              <w:right w:val="single" w:sz="4" w:space="0" w:color="3B82F6"/>
            </w:tcBorders>
            <w:shd w:val="clear" w:color="auto" w:fill="E8F0FE"/>
            <w:tcMar>
              <w:top w:w="120" w:type="dxa"/>
              <w:left w:w="200" w:type="dxa"/>
              <w:bottom w:w="120" w:type="dxa"/>
              <w:right w:w="200" w:type="dxa"/>
            </w:tcMar>
          </w:tcPr>
          <w:p w14:paraId="1D9C2C2C" w14:textId="77777777" w:rsidR="00AA53E5" w:rsidRDefault="00000000">
            <w:pPr>
              <w:spacing w:before="60" w:after="60"/>
            </w:pPr>
            <w:proofErr w:type="gramStart"/>
            <w:r>
              <w:rPr>
                <w:b/>
                <w:bCs/>
                <w:color w:val="1D4E8F"/>
              </w:rPr>
              <w:t>ℹ️  JURISDICTION</w:t>
            </w:r>
            <w:proofErr w:type="gramEnd"/>
            <w:r>
              <w:rPr>
                <w:b/>
                <w:bCs/>
                <w:color w:val="1D4E8F"/>
              </w:rPr>
              <w:t xml:space="preserve"> NOTE</w:t>
            </w:r>
          </w:p>
          <w:p w14:paraId="0B5754E0" w14:textId="77777777" w:rsidR="00AA53E5" w:rsidRDefault="00000000">
            <w:pPr>
              <w:spacing w:before="50" w:after="50"/>
            </w:pPr>
            <w:r>
              <w:rPr>
                <w:sz w:val="20"/>
                <w:szCs w:val="20"/>
              </w:rPr>
              <w:t>This letter cites Queensland Electricity Regulation 2006 s.44 and s.46. If you are in another state, substitute the equivalent state provision. The underlying principle (customer ownership of infrastructure from the connection point inward) applies consistently across NEM jurisdictions.</w:t>
            </w:r>
          </w:p>
          <w:p w14:paraId="305FD464" w14:textId="77777777" w:rsidR="00AA53E5" w:rsidRDefault="00AA53E5">
            <w:pPr>
              <w:spacing w:before="50" w:after="50"/>
            </w:pPr>
          </w:p>
          <w:p w14:paraId="6763D0F3" w14:textId="77777777" w:rsidR="00AA53E5" w:rsidRDefault="00000000">
            <w:pPr>
              <w:spacing w:before="50" w:after="50"/>
            </w:pPr>
            <w:r>
              <w:rPr>
                <w:sz w:val="20"/>
                <w:szCs w:val="20"/>
              </w:rPr>
              <w:t>Your state/territory: [insert]</w:t>
            </w:r>
          </w:p>
          <w:p w14:paraId="7B53E532" w14:textId="77777777" w:rsidR="00AA53E5" w:rsidRDefault="00000000">
            <w:pPr>
              <w:spacing w:before="50" w:after="50"/>
            </w:pPr>
            <w:r>
              <w:rPr>
                <w:sz w:val="20"/>
                <w:szCs w:val="20"/>
              </w:rPr>
              <w:t>Relevant state regulation (if known): [insert or delete]</w:t>
            </w:r>
          </w:p>
        </w:tc>
      </w:tr>
    </w:tbl>
    <w:p w14:paraId="1D588DA7" w14:textId="77777777" w:rsidR="00AA53E5" w:rsidRDefault="00AA53E5">
      <w:pPr>
        <w:spacing w:before="55" w:after="55"/>
      </w:pPr>
    </w:p>
    <w:p w14:paraId="693EFE28" w14:textId="77777777" w:rsidR="00AA53E5" w:rsidRDefault="00000000">
      <w:pPr>
        <w:spacing w:before="110" w:after="110"/>
        <w:jc w:val="both"/>
      </w:pPr>
      <w:r>
        <w:t>The customer-owned internal wiring to which any meter physically connects was designed and certified to a specific load and emissions profile. The introduction of SMPS-generated conducted emissions into that wiring, without the owner's consent and without an independent compatibility assessment, represents an alteration to the owner's infrastructure not authorised under any provision of the relevant state regulations or the National Electricity Rules.</w:t>
      </w:r>
    </w:p>
    <w:p w14:paraId="30A9311B" w14:textId="77777777" w:rsidR="00AA53E5" w:rsidRDefault="00AA53E5">
      <w:pPr>
        <w:spacing w:before="55" w:after="55"/>
      </w:pPr>
    </w:p>
    <w:p w14:paraId="65CD93DA" w14:textId="77777777" w:rsidR="00AA53E5" w:rsidRDefault="00000000">
      <w:pPr>
        <w:spacing w:before="110" w:after="110"/>
        <w:jc w:val="both"/>
      </w:pPr>
      <w:r>
        <w:lastRenderedPageBreak/>
        <w:t>Entry onto my property by any metering coordinator for the purpose of installing a smart meter device is conditional on: (a) prior written confirmation of the device type and its full technical specifications; (b) the independent electrical safety assessment and written indemnity described in Section 5; and (c) my written authorisation for that specific installation to proceed. In the absence of all three, entry for the purpose of a smart meter installation will be treated as unauthorised access to my property; I reserve all rights in relation to it, including under common law trespass.</w:t>
      </w:r>
    </w:p>
    <w:p w14:paraId="1AADF122" w14:textId="77777777" w:rsidR="00AA53E5" w:rsidRDefault="00AA53E5">
      <w:pPr>
        <w:spacing w:before="55" w:after="55"/>
      </w:pPr>
    </w:p>
    <w:p w14:paraId="1E085E26" w14:textId="77777777" w:rsidR="00AA53E5" w:rsidRDefault="00000000">
      <w:pPr>
        <w:spacing w:before="110" w:after="110"/>
        <w:jc w:val="both"/>
      </w:pPr>
      <w:r>
        <w:t>I note formally that I retain the right under the National Electricity Rules to refuse remediation of any site defect. Any attempt to use a site defect as procedural grounds to delay a compliant installation or as leverage toward any other outcome will be treated as bad-faith conduct and reported to the relevant energy regulator and Ombudsman accordingly.</w:t>
      </w:r>
    </w:p>
    <w:p w14:paraId="4210A581" w14:textId="77777777" w:rsidR="00AA53E5" w:rsidRDefault="00AA53E5">
      <w:pPr>
        <w:spacing w:before="55" w:after="55"/>
      </w:pPr>
    </w:p>
    <w:p w14:paraId="13AA2D91" w14:textId="77777777" w:rsidR="00AA53E5" w:rsidRDefault="00000000">
      <w:pPr>
        <w:pStyle w:val="Heading1"/>
      </w:pPr>
      <w:r>
        <w:t>8. Criminal Law Provisions</w:t>
      </w:r>
    </w:p>
    <w:p w14:paraId="02A2D624" w14:textId="77777777" w:rsidR="00AA53E5" w:rsidRDefault="00000000">
      <w:pPr>
        <w:spacing w:before="110" w:after="110"/>
        <w:jc w:val="both"/>
      </w:pPr>
      <w:r>
        <w:t>The following is provided in good faith as formal notice, not as a threat. I draw your organisation's attention to provisions of the relevant Criminal Code that may be engaged by the non-consensual emission of electromagnetic radiation upon a person who has formally withdrawn consent and documented a reasonable apprehension of harm.</w:t>
      </w:r>
    </w:p>
    <w:p w14:paraId="3BFDDAFA" w14:textId="77777777" w:rsidR="00AA53E5" w:rsidRDefault="00AA53E5">
      <w:pPr>
        <w:spacing w:before="55" w:after="55"/>
      </w:pPr>
    </w:p>
    <w:p w14:paraId="14C66FA2" w14:textId="77777777" w:rsidR="00AA53E5" w:rsidRDefault="00000000">
      <w:pPr>
        <w:spacing w:before="110" w:after="110"/>
        <w:jc w:val="both"/>
      </w:pPr>
      <w:r>
        <w:t>These provisions have been identified and applied in the context of non-consensual EMR installations by Tasmanian barrister Raymond J. Broomhall LLB GDLP, whose documented legal strategy has resulted in the prevention or removal of numerous non-consensual electromagnetic radiation installations across Australia.</w:t>
      </w:r>
    </w:p>
    <w:p w14:paraId="1BB556EC" w14:textId="77777777" w:rsidR="00AA53E5" w:rsidRDefault="00AA53E5">
      <w:pPr>
        <w:spacing w:before="55" w:after="55"/>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35C5D1E1" w14:textId="77777777">
        <w:tc>
          <w:tcPr>
            <w:tcW w:w="9026" w:type="dxa"/>
            <w:tcBorders>
              <w:top w:val="single" w:sz="4" w:space="0" w:color="3B82F6"/>
              <w:left w:val="single" w:sz="14" w:space="0" w:color="3B82F6"/>
              <w:bottom w:val="single" w:sz="4" w:space="0" w:color="3B82F6"/>
              <w:right w:val="single" w:sz="4" w:space="0" w:color="3B82F6"/>
            </w:tcBorders>
            <w:shd w:val="clear" w:color="auto" w:fill="E8F0FE"/>
            <w:tcMar>
              <w:top w:w="120" w:type="dxa"/>
              <w:left w:w="200" w:type="dxa"/>
              <w:bottom w:w="120" w:type="dxa"/>
              <w:right w:w="200" w:type="dxa"/>
            </w:tcMar>
          </w:tcPr>
          <w:p w14:paraId="16D450A3" w14:textId="77777777" w:rsidR="00AA53E5" w:rsidRDefault="00000000">
            <w:pPr>
              <w:spacing w:before="60" w:after="60"/>
            </w:pPr>
            <w:proofErr w:type="gramStart"/>
            <w:r>
              <w:rPr>
                <w:b/>
                <w:bCs/>
                <w:color w:val="1D4E8F"/>
              </w:rPr>
              <w:t>ℹ️  WHICH</w:t>
            </w:r>
            <w:proofErr w:type="gramEnd"/>
            <w:r>
              <w:rPr>
                <w:b/>
                <w:bCs/>
                <w:color w:val="1D4E8F"/>
              </w:rPr>
              <w:t xml:space="preserve"> CRIMINAL CODE APPLIES TO YOU?</w:t>
            </w:r>
          </w:p>
          <w:p w14:paraId="6A2639D4" w14:textId="77777777" w:rsidR="00AA53E5" w:rsidRDefault="00000000">
            <w:pPr>
              <w:spacing w:before="50" w:after="50"/>
            </w:pPr>
            <w:r>
              <w:rPr>
                <w:sz w:val="20"/>
                <w:szCs w:val="20"/>
              </w:rPr>
              <w:t>Queensland: Criminal Code 1899 (Qld), sections 75, 230, 245, 289, 328, 339, 340.</w:t>
            </w:r>
          </w:p>
          <w:p w14:paraId="57857832" w14:textId="77777777" w:rsidR="00AA53E5" w:rsidRDefault="00000000">
            <w:pPr>
              <w:spacing w:before="50" w:after="50"/>
            </w:pPr>
            <w:r>
              <w:rPr>
                <w:sz w:val="20"/>
                <w:szCs w:val="20"/>
              </w:rPr>
              <w:t>Western Australia: Criminal Code 1913 (WA), equivalent assault and duty of care provisions.</w:t>
            </w:r>
          </w:p>
          <w:p w14:paraId="3660EB82" w14:textId="77777777" w:rsidR="00AA53E5" w:rsidRDefault="00000000">
            <w:pPr>
              <w:spacing w:before="50" w:after="50"/>
            </w:pPr>
            <w:r>
              <w:rPr>
                <w:sz w:val="20"/>
                <w:szCs w:val="20"/>
              </w:rPr>
              <w:t>NSW/ACT: Crimes Act 1900 (NSW); Criminal Code 2002 (ACT).</w:t>
            </w:r>
          </w:p>
          <w:p w14:paraId="3F37AFCC" w14:textId="77777777" w:rsidR="00AA53E5" w:rsidRDefault="00000000">
            <w:pPr>
              <w:spacing w:before="50" w:after="50"/>
            </w:pPr>
            <w:r>
              <w:rPr>
                <w:sz w:val="20"/>
                <w:szCs w:val="20"/>
              </w:rPr>
              <w:t>South Australia: Criminal Law Consolidation Act 1935 (SA).</w:t>
            </w:r>
          </w:p>
          <w:p w14:paraId="565FE938" w14:textId="77777777" w:rsidR="00AA53E5" w:rsidRDefault="00000000">
            <w:pPr>
              <w:spacing w:before="50" w:after="50"/>
            </w:pPr>
            <w:r>
              <w:rPr>
                <w:sz w:val="20"/>
                <w:szCs w:val="20"/>
              </w:rPr>
              <w:t>Northern Territory: Criminal Code Act 1983 (NT).</w:t>
            </w:r>
          </w:p>
          <w:p w14:paraId="3882E774" w14:textId="77777777" w:rsidR="00AA53E5" w:rsidRDefault="00000000">
            <w:pPr>
              <w:spacing w:before="50" w:after="50"/>
            </w:pPr>
            <w:r>
              <w:rPr>
                <w:sz w:val="20"/>
                <w:szCs w:val="20"/>
              </w:rPr>
              <w:t>Tasmania: Criminal Code Act 1924 (Tas).</w:t>
            </w:r>
          </w:p>
          <w:p w14:paraId="10F62C61" w14:textId="77777777" w:rsidR="00AA53E5" w:rsidRDefault="00000000">
            <w:pPr>
              <w:spacing w:before="50" w:after="50"/>
            </w:pPr>
            <w:r>
              <w:rPr>
                <w:sz w:val="20"/>
                <w:szCs w:val="20"/>
              </w:rPr>
              <w:t>Federal overlay: Criminal Code Act 1995 (</w:t>
            </w:r>
            <w:proofErr w:type="spellStart"/>
            <w:r>
              <w:rPr>
                <w:sz w:val="20"/>
                <w:szCs w:val="20"/>
              </w:rPr>
              <w:t>Cth</w:t>
            </w:r>
            <w:proofErr w:type="spellEnd"/>
            <w:r>
              <w:rPr>
                <w:sz w:val="20"/>
                <w:szCs w:val="20"/>
              </w:rPr>
              <w:t>) applies across all jurisdictions.</w:t>
            </w:r>
          </w:p>
          <w:p w14:paraId="4F11338B" w14:textId="77777777" w:rsidR="00AA53E5" w:rsidRDefault="00AA53E5">
            <w:pPr>
              <w:spacing w:before="50" w:after="50"/>
            </w:pPr>
          </w:p>
          <w:p w14:paraId="61F33F13" w14:textId="77777777" w:rsidR="00AA53E5" w:rsidRDefault="00000000">
            <w:pPr>
              <w:spacing w:before="50" w:after="50"/>
            </w:pPr>
            <w:r>
              <w:rPr>
                <w:sz w:val="20"/>
                <w:szCs w:val="20"/>
              </w:rPr>
              <w:t>In every jurisdiction, assault is defined to include the non-consensual application of force, which expressly includes electrical force applied to cause discomfort or injury. Confirm precise section numbers with a solicitor.</w:t>
            </w:r>
          </w:p>
          <w:p w14:paraId="4BC7A51A" w14:textId="77777777" w:rsidR="00AA53E5" w:rsidRDefault="00AA53E5">
            <w:pPr>
              <w:spacing w:before="50" w:after="50"/>
            </w:pPr>
          </w:p>
          <w:p w14:paraId="4515B12F" w14:textId="77777777" w:rsidR="00AA53E5" w:rsidRDefault="00000000">
            <w:pPr>
              <w:spacing w:before="50" w:after="50"/>
            </w:pPr>
            <w:r>
              <w:rPr>
                <w:sz w:val="20"/>
                <w:szCs w:val="20"/>
              </w:rPr>
              <w:t>Your state/territory: [insert]</w:t>
            </w:r>
          </w:p>
          <w:p w14:paraId="6C3B30A3" w14:textId="77777777" w:rsidR="00AA53E5" w:rsidRDefault="00000000">
            <w:pPr>
              <w:spacing w:before="50" w:after="50"/>
            </w:pPr>
            <w:r>
              <w:rPr>
                <w:sz w:val="20"/>
                <w:szCs w:val="20"/>
              </w:rPr>
              <w:t>Applicable Criminal Code/Act: [insert]</w:t>
            </w:r>
          </w:p>
        </w:tc>
      </w:tr>
    </w:tbl>
    <w:p w14:paraId="0111778A" w14:textId="77777777" w:rsidR="00AA53E5" w:rsidRDefault="00AA53E5">
      <w:pPr>
        <w:spacing w:before="55" w:after="55"/>
      </w:pPr>
    </w:p>
    <w:p w14:paraId="16239199" w14:textId="77777777" w:rsidR="00AA53E5" w:rsidRDefault="00000000">
      <w:pPr>
        <w:pStyle w:val="ListParagraph"/>
        <w:numPr>
          <w:ilvl w:val="0"/>
          <w:numId w:val="2"/>
        </w:numPr>
        <w:spacing w:before="75" w:after="75"/>
        <w:jc w:val="both"/>
      </w:pPr>
      <w:r>
        <w:rPr>
          <w:b/>
          <w:bCs/>
        </w:rPr>
        <w:t xml:space="preserve">Assault: </w:t>
      </w:r>
      <w:r>
        <w:t>The definition of assault in every Australian jurisdiction includes the non-consensual application of force, which expressly encompasses electrical force applied in such degree as to cause injury or personal discomfort; whether applied directly or indirectly. The non-consensual pulsed emission of radiofrequency radiation upon an occupied residence, following formal written withdrawal of consent and documented medical concern, is capable of constituting assault within these terms.</w:t>
      </w:r>
    </w:p>
    <w:p w14:paraId="6D95515A" w14:textId="77777777" w:rsidR="00AA53E5" w:rsidRDefault="00000000">
      <w:pPr>
        <w:pStyle w:val="ListParagraph"/>
        <w:numPr>
          <w:ilvl w:val="0"/>
          <w:numId w:val="2"/>
        </w:numPr>
        <w:spacing w:before="75" w:after="75"/>
        <w:jc w:val="both"/>
      </w:pPr>
      <w:r>
        <w:rPr>
          <w:b/>
          <w:bCs/>
        </w:rPr>
        <w:lastRenderedPageBreak/>
        <w:t xml:space="preserve">Threatening conduct: </w:t>
      </w:r>
      <w:r>
        <w:t>Communicating an intention to proceed with a non-consensual installation after receipt of this notice, in circumstances where the recipient has documented a reasonable fear of harm, may constitute threatening conduct under applicable Criminal Code provisions.</w:t>
      </w:r>
    </w:p>
    <w:p w14:paraId="145EECEF" w14:textId="77777777" w:rsidR="00AA53E5" w:rsidRDefault="00000000">
      <w:pPr>
        <w:pStyle w:val="ListParagraph"/>
        <w:numPr>
          <w:ilvl w:val="0"/>
          <w:numId w:val="2"/>
        </w:numPr>
        <w:spacing w:before="75" w:after="75"/>
        <w:jc w:val="both"/>
      </w:pPr>
      <w:r>
        <w:rPr>
          <w:b/>
          <w:bCs/>
        </w:rPr>
        <w:t xml:space="preserve">Negligent act causing harm: </w:t>
      </w:r>
      <w:r>
        <w:t>Any person who does any act, or omits to do any act which it is their duty to do, by which bodily harm is actually caused to any person, is liable under applicable negligent act provisions. Any bodily harm causally connected to the installation of a communicating meter against the formally expressed objection of an occupant who has documented health concerns will engage this provision.</w:t>
      </w:r>
    </w:p>
    <w:p w14:paraId="18B45907" w14:textId="77777777" w:rsidR="00AA53E5" w:rsidRDefault="00000000">
      <w:pPr>
        <w:pStyle w:val="ListParagraph"/>
        <w:numPr>
          <w:ilvl w:val="0"/>
          <w:numId w:val="2"/>
        </w:numPr>
        <w:spacing w:before="75" w:after="75"/>
        <w:jc w:val="both"/>
      </w:pPr>
      <w:r>
        <w:rPr>
          <w:b/>
          <w:bCs/>
        </w:rPr>
        <w:t xml:space="preserve">Duty of persons in charge of dangerous things: </w:t>
      </w:r>
      <w:r>
        <w:t>It is the duty of every person who has in their charge or under their control anything of such a nature that, in the absence of care or precaution, the life, safety, or health of any person may be endangered, to use reasonable care and take reasonable precautions to avoid such danger. Those who install and operate pulsed RF-emitting devices whose long-term biological safety is contested by growing peer-reviewed evidence, and which have been linked to residential fires, are in charge of such things within the meaning of applicable provisions.</w:t>
      </w:r>
    </w:p>
    <w:p w14:paraId="59C830F7" w14:textId="77777777" w:rsidR="00AA53E5" w:rsidRDefault="00000000">
      <w:pPr>
        <w:pStyle w:val="ListParagraph"/>
        <w:numPr>
          <w:ilvl w:val="0"/>
          <w:numId w:val="2"/>
        </w:numPr>
        <w:spacing w:before="75" w:after="75"/>
        <w:jc w:val="both"/>
      </w:pPr>
      <w:r>
        <w:rPr>
          <w:b/>
          <w:bCs/>
        </w:rPr>
        <w:t xml:space="preserve">Common nuisance: </w:t>
      </w:r>
      <w:r>
        <w:t>Any person who, without lawful justification or excuse, does any act by which danger is caused to the lives, safety, or health of the public, or by which injury is caused to the person of some person, is liable under applicable common nuisance provisions. The deployment of RF-emitting devices against the expressed objection of an occupant who has formally withdrawn consent and documented health concerns is capable of constituting such a nuisance.</w:t>
      </w:r>
    </w:p>
    <w:p w14:paraId="700B623F" w14:textId="77777777" w:rsidR="00AA53E5" w:rsidRDefault="00AA53E5">
      <w:pPr>
        <w:spacing w:before="55" w:after="55"/>
      </w:pPr>
    </w:p>
    <w:p w14:paraId="7FC50803" w14:textId="77777777" w:rsidR="00AA53E5" w:rsidRDefault="00000000">
      <w:pPr>
        <w:spacing w:before="110" w:after="110"/>
        <w:jc w:val="both"/>
      </w:pPr>
      <w:r>
        <w:t>Compliance with a government safety standard does not, of itself, protect your organisation from civil or criminal liability if it knowingly and intentionally fails to adequately address the concerns documented in this notice after having been specifically put on notice of them. The legal onus is squarely on your organisation to assess and appropriately address the safety and health impacts of its intended actions upon my person and property: this obligation is in addition to, not displaced by, regulatory compliance.</w:t>
      </w:r>
    </w:p>
    <w:p w14:paraId="44D1687B" w14:textId="77777777" w:rsidR="00AA53E5" w:rsidRDefault="00AA53E5">
      <w:pPr>
        <w:spacing w:before="55" w:after="55"/>
      </w:pPr>
    </w:p>
    <w:p w14:paraId="30A2073C" w14:textId="77777777" w:rsidR="00AA53E5" w:rsidRDefault="00000000">
      <w:pPr>
        <w:spacing w:before="110" w:after="110"/>
        <w:jc w:val="both"/>
      </w:pPr>
      <w:r>
        <w:t>I give formal notice that if any installation proceeds at this premises after receipt of this letter without my written authorisation, I will place this matter before police and before counsel for consideration of proceedings under the provisions cited above, as well as under common law in negligence, trespass, and nuisance.</w:t>
      </w:r>
    </w:p>
    <w:p w14:paraId="52FC4663" w14:textId="77777777" w:rsidR="00AA53E5" w:rsidRDefault="00AA53E5">
      <w:pPr>
        <w:spacing w:before="55" w:after="55"/>
      </w:pPr>
    </w:p>
    <w:p w14:paraId="332529A5" w14:textId="77777777" w:rsidR="00AA53E5" w:rsidRDefault="00000000">
      <w:pPr>
        <w:pStyle w:val="Heading1"/>
      </w:pPr>
      <w:r>
        <w:t>9. International Judicial Precedent Supports Precautionary Refusal</w:t>
      </w:r>
    </w:p>
    <w:p w14:paraId="33BB6513" w14:textId="77777777" w:rsidR="00AA53E5" w:rsidRDefault="00000000">
      <w:pPr>
        <w:pStyle w:val="ListParagraph"/>
        <w:numPr>
          <w:ilvl w:val="0"/>
          <w:numId w:val="2"/>
        </w:numPr>
        <w:spacing w:before="75" w:after="75"/>
        <w:jc w:val="both"/>
      </w:pPr>
      <w:r>
        <w:t xml:space="preserve">The Lyon Court of Appeal (November 2023) and the Lyon Administrative Court (February 2025) both ordered </w:t>
      </w:r>
      <w:proofErr w:type="spellStart"/>
      <w:r>
        <w:t>Enedis</w:t>
      </w:r>
      <w:proofErr w:type="spellEnd"/>
      <w:r>
        <w:t xml:space="preserve"> to remove a </w:t>
      </w:r>
      <w:proofErr w:type="spellStart"/>
      <w:r>
        <w:t>Linky</w:t>
      </w:r>
      <w:proofErr w:type="spellEnd"/>
      <w:r>
        <w:t xml:space="preserve"> communicating meter from a private residence, applying the EU Precautionary Principle. The courts held explicitly that regulatory compliance with emissions limits does not preclude tortious liability where plausible harm exists.</w:t>
      </w:r>
    </w:p>
    <w:p w14:paraId="37216457" w14:textId="77777777" w:rsidR="00AA53E5" w:rsidRDefault="00000000">
      <w:pPr>
        <w:pStyle w:val="ListParagraph"/>
        <w:numPr>
          <w:ilvl w:val="0"/>
          <w:numId w:val="2"/>
        </w:numPr>
        <w:spacing w:before="75" w:after="75"/>
        <w:jc w:val="both"/>
      </w:pPr>
      <w:r>
        <w:t xml:space="preserve">The Tribunal de grande instance of Tours ordered the removal of </w:t>
      </w:r>
      <w:proofErr w:type="spellStart"/>
      <w:r>
        <w:t>Linky</w:t>
      </w:r>
      <w:proofErr w:type="spellEnd"/>
      <w:r>
        <w:t xml:space="preserve"> meters from 13 households on the basis that symptoms "could be linked to the </w:t>
      </w:r>
      <w:proofErr w:type="spellStart"/>
      <w:r>
        <w:t>Linky</w:t>
      </w:r>
      <w:proofErr w:type="spellEnd"/>
      <w:r>
        <w:t xml:space="preserve"> meter," citing the national medical safety agency </w:t>
      </w:r>
      <w:proofErr w:type="spellStart"/>
      <w:r>
        <w:t>Anses</w:t>
      </w:r>
      <w:proofErr w:type="spellEnd"/>
      <w:r>
        <w:t>' own acknowledgement of unresolved health doubts.</w:t>
      </w:r>
    </w:p>
    <w:p w14:paraId="171340AA" w14:textId="77777777" w:rsidR="00AA53E5" w:rsidRDefault="00000000">
      <w:pPr>
        <w:pStyle w:val="ListParagraph"/>
        <w:numPr>
          <w:ilvl w:val="0"/>
          <w:numId w:val="2"/>
        </w:numPr>
        <w:spacing w:before="75" w:after="75"/>
        <w:jc w:val="both"/>
      </w:pPr>
      <w:r>
        <w:t xml:space="preserve">In the United States, a Plumas County court ordered restoration of an analogue meter for an electromagnetically sensitive customer on disability accommodation grounds. </w:t>
      </w:r>
      <w:r>
        <w:lastRenderedPageBreak/>
        <w:t>PG&amp;E was subsequently required to refund smart meter opt-out fees paid by a disabled customer.</w:t>
      </w:r>
    </w:p>
    <w:p w14:paraId="58A4722D" w14:textId="77777777" w:rsidR="00AA53E5" w:rsidRDefault="00000000">
      <w:pPr>
        <w:pStyle w:val="ListParagraph"/>
        <w:numPr>
          <w:ilvl w:val="0"/>
          <w:numId w:val="2"/>
        </w:numPr>
        <w:spacing w:before="75" w:after="75"/>
        <w:jc w:val="both"/>
      </w:pPr>
      <w:r>
        <w:t>The US Court of Appeals for the DC Circuit, in Environmental Health Trust et al. v. FCC (2021), found that the FCC had failed to provide a reasoned explanation for concluding its 1996 RF exposure guidelines were adequate to protect against non-cancer harms, having ignored substantial peer-reviewed evidence submitted to it.</w:t>
      </w:r>
    </w:p>
    <w:p w14:paraId="37BD1FEF" w14:textId="77777777" w:rsidR="00AA53E5" w:rsidRDefault="00AA53E5">
      <w:pPr>
        <w:spacing w:before="55" w:after="55"/>
      </w:pPr>
    </w:p>
    <w:p w14:paraId="6D7EE9C4" w14:textId="77777777" w:rsidR="00AA53E5" w:rsidRDefault="00000000">
      <w:pPr>
        <w:spacing w:before="110" w:after="110"/>
        <w:jc w:val="both"/>
      </w:pPr>
      <w:r>
        <w:t>Australia has no equivalent decided case yet; primarily because avenues short of litigation have until now existed. If those avenues are blocked by retailers, the conditions for analogous proceedings in Australian courts under common law negligence and trespass are materially advanced.</w:t>
      </w:r>
    </w:p>
    <w:p w14:paraId="38DAEB28" w14:textId="77777777" w:rsidR="00AA53E5" w:rsidRDefault="00AA53E5">
      <w:pPr>
        <w:spacing w:before="55" w:after="55"/>
      </w:pPr>
    </w:p>
    <w:p w14:paraId="417C2730" w14:textId="77777777" w:rsidR="00AA53E5" w:rsidRDefault="00000000">
      <w:pPr>
        <w:pStyle w:val="Heading1"/>
      </w:pPr>
      <w:r>
        <w:t>10. Disability Discrimination Act 1992 (</w:t>
      </w:r>
      <w:proofErr w:type="spellStart"/>
      <w:r>
        <w:t>Cth</w:t>
      </w:r>
      <w:proofErr w:type="spellEnd"/>
      <w:r>
        <w:t>) s.24: Formal Notice of Forthcoming Instrument</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1FA1667C" w14:textId="77777777">
        <w:tc>
          <w:tcPr>
            <w:tcW w:w="9026" w:type="dxa"/>
            <w:tcBorders>
              <w:top w:val="single" w:sz="4" w:space="0" w:color="3B82F6"/>
              <w:left w:val="single" w:sz="14" w:space="0" w:color="3B82F6"/>
              <w:bottom w:val="single" w:sz="4" w:space="0" w:color="3B82F6"/>
              <w:right w:val="single" w:sz="4" w:space="0" w:color="3B82F6"/>
            </w:tcBorders>
            <w:shd w:val="clear" w:color="auto" w:fill="E8F0FE"/>
            <w:tcMar>
              <w:top w:w="120" w:type="dxa"/>
              <w:left w:w="200" w:type="dxa"/>
              <w:bottom w:w="120" w:type="dxa"/>
              <w:right w:w="200" w:type="dxa"/>
            </w:tcMar>
          </w:tcPr>
          <w:p w14:paraId="52F8251E" w14:textId="77777777" w:rsidR="00AA53E5" w:rsidRDefault="00000000">
            <w:pPr>
              <w:spacing w:before="60" w:after="60"/>
            </w:pPr>
            <w:proofErr w:type="gramStart"/>
            <w:r>
              <w:rPr>
                <w:b/>
                <w:bCs/>
                <w:color w:val="1D4E8F"/>
              </w:rPr>
              <w:t>ℹ️  ACTIVATE</w:t>
            </w:r>
            <w:proofErr w:type="gramEnd"/>
            <w:r>
              <w:rPr>
                <w:b/>
                <w:bCs/>
                <w:color w:val="1D4E8F"/>
              </w:rPr>
              <w:t xml:space="preserve"> THIS SECTION WITH A GP LETTER</w:t>
            </w:r>
          </w:p>
          <w:p w14:paraId="14B4D115" w14:textId="77777777" w:rsidR="00AA53E5" w:rsidRDefault="00000000">
            <w:pPr>
              <w:spacing w:before="50" w:after="50"/>
            </w:pPr>
            <w:r>
              <w:rPr>
                <w:sz w:val="20"/>
                <w:szCs w:val="20"/>
              </w:rPr>
              <w:t>This section is most effective with a supporting letter from your GP or specialist. You do not need a formal EHS diagnosis. A letter stating that, in the doctor's clinical opinion, minimising the patient's radiofrequency exposure is medically advisable, or that documented symptoms are consistent with EMF sensitivity, is sufficient.</w:t>
            </w:r>
          </w:p>
          <w:p w14:paraId="77C5DCA8" w14:textId="77777777" w:rsidR="00AA53E5" w:rsidRDefault="00AA53E5">
            <w:pPr>
              <w:spacing w:before="50" w:after="50"/>
            </w:pPr>
          </w:p>
          <w:p w14:paraId="7CAF048D" w14:textId="77777777" w:rsidR="00AA53E5" w:rsidRDefault="00000000">
            <w:pPr>
              <w:spacing w:before="50" w:after="50"/>
            </w:pPr>
            <w:r>
              <w:rPr>
                <w:sz w:val="20"/>
                <w:szCs w:val="20"/>
              </w:rPr>
              <w:t>Useful resources to provide to your GP before the appointment:</w:t>
            </w:r>
          </w:p>
          <w:p w14:paraId="614E883C" w14:textId="77777777" w:rsidR="00AA53E5" w:rsidRDefault="00000000">
            <w:pPr>
              <w:spacing w:before="50" w:after="50"/>
            </w:pPr>
            <w:r>
              <w:rPr>
                <w:i/>
                <w:iCs/>
                <w:sz w:val="20"/>
                <w:szCs w:val="20"/>
              </w:rPr>
              <w:t xml:space="preserve">→ </w:t>
            </w:r>
            <w:proofErr w:type="spellStart"/>
            <w:r>
              <w:rPr>
                <w:i/>
                <w:iCs/>
                <w:sz w:val="20"/>
                <w:szCs w:val="20"/>
              </w:rPr>
              <w:t>BioInitiative</w:t>
            </w:r>
            <w:proofErr w:type="spellEnd"/>
            <w:r>
              <w:rPr>
                <w:i/>
                <w:iCs/>
                <w:sz w:val="20"/>
                <w:szCs w:val="20"/>
              </w:rPr>
              <w:t xml:space="preserve"> Report: https://bioinitiative.org</w:t>
            </w:r>
          </w:p>
          <w:p w14:paraId="1CCD5F1C" w14:textId="77777777" w:rsidR="00AA53E5" w:rsidRDefault="00000000">
            <w:pPr>
              <w:spacing w:before="50" w:after="50"/>
            </w:pPr>
            <w:r>
              <w:rPr>
                <w:i/>
                <w:iCs/>
                <w:sz w:val="20"/>
                <w:szCs w:val="20"/>
              </w:rPr>
              <w:t>→ Physicians for Safe Technology: https://mdsafetech.org/problems/5g/</w:t>
            </w:r>
          </w:p>
          <w:p w14:paraId="0DC66B93" w14:textId="77777777" w:rsidR="00AA53E5" w:rsidRDefault="00AA53E5">
            <w:pPr>
              <w:spacing w:before="50" w:after="50"/>
            </w:pPr>
          </w:p>
          <w:p w14:paraId="101994F0" w14:textId="77777777" w:rsidR="00AA53E5" w:rsidRDefault="00000000">
            <w:pPr>
              <w:spacing w:before="50" w:after="50"/>
            </w:pPr>
            <w:r>
              <w:rPr>
                <w:sz w:val="20"/>
                <w:szCs w:val="20"/>
              </w:rPr>
              <w:t>GP/specialist name (for reference): [insert or delete if not yet obtained]</w:t>
            </w:r>
          </w:p>
          <w:p w14:paraId="407366F2" w14:textId="77777777" w:rsidR="00AA53E5" w:rsidRDefault="00000000">
            <w:pPr>
              <w:spacing w:before="50" w:after="50"/>
            </w:pPr>
            <w:r>
              <w:rPr>
                <w:sz w:val="20"/>
                <w:szCs w:val="20"/>
              </w:rPr>
              <w:t>Date of medical assessment: [insert or delete]</w:t>
            </w:r>
          </w:p>
          <w:p w14:paraId="26412EC1" w14:textId="77777777" w:rsidR="00AA53E5" w:rsidRDefault="00000000">
            <w:pPr>
              <w:spacing w:before="50" w:after="50"/>
            </w:pPr>
            <w:r>
              <w:rPr>
                <w:sz w:val="20"/>
                <w:szCs w:val="20"/>
              </w:rPr>
              <w:t>Symptoms documented: [insert, e.g. "sleep disruption, headaches, fatigue"]</w:t>
            </w:r>
          </w:p>
          <w:p w14:paraId="2DAB579D" w14:textId="77777777" w:rsidR="00AA53E5" w:rsidRDefault="00AA53E5">
            <w:pPr>
              <w:spacing w:before="50" w:after="50"/>
            </w:pPr>
          </w:p>
          <w:p w14:paraId="214CF00A" w14:textId="77777777" w:rsidR="00AA53E5" w:rsidRDefault="00000000">
            <w:pPr>
              <w:spacing w:before="50" w:after="50"/>
            </w:pPr>
            <w:r>
              <w:rPr>
                <w:sz w:val="20"/>
                <w:szCs w:val="20"/>
              </w:rPr>
              <w:t>If you do not yet have a GP letter, retain this section as a notice of intent. It puts the retailer on notice that a DDA instrument is forthcoming and that they should seek legal advice now.</w:t>
            </w:r>
          </w:p>
        </w:tc>
      </w:tr>
    </w:tbl>
    <w:p w14:paraId="0DE55507" w14:textId="77777777" w:rsidR="00AA53E5" w:rsidRDefault="00AA53E5">
      <w:pPr>
        <w:spacing w:before="55" w:after="55"/>
      </w:pPr>
    </w:p>
    <w:p w14:paraId="31FBA6F0" w14:textId="77777777" w:rsidR="00AA53E5" w:rsidRDefault="00000000">
      <w:pPr>
        <w:spacing w:before="110" w:after="110"/>
        <w:jc w:val="both"/>
      </w:pPr>
      <w:r>
        <w:t xml:space="preserve">I am currently experiencing </w:t>
      </w:r>
      <w:r>
        <w:rPr>
          <w:i/>
          <w:iCs/>
        </w:rPr>
        <w:t>[describe your symptoms, e.g. "documented sleep disruption and headaches"]</w:t>
      </w:r>
      <w:r>
        <w:t xml:space="preserve"> and am seeking medical assessment specifically in relation to electromagnetic field exposure. A supporting clinical letter is expected by </w:t>
      </w:r>
      <w:r>
        <w:rPr>
          <w:i/>
          <w:iCs/>
        </w:rPr>
        <w:t>[anticipated date]</w:t>
      </w:r>
      <w:r>
        <w:t>.</w:t>
      </w:r>
    </w:p>
    <w:p w14:paraId="1E402446" w14:textId="77777777" w:rsidR="00AA53E5" w:rsidRDefault="00AA53E5">
      <w:pPr>
        <w:spacing w:before="55" w:after="55"/>
      </w:pPr>
    </w:p>
    <w:p w14:paraId="1DBC582A" w14:textId="77777777" w:rsidR="00AA53E5" w:rsidRDefault="00000000">
      <w:pPr>
        <w:spacing w:before="110" w:after="110"/>
        <w:jc w:val="both"/>
      </w:pPr>
      <w:r>
        <w:t>Upon receipt of that letter I will serve a separate formal accommodation request on your organisation under section 24 of the Disability Discrimination Act 1992 (</w:t>
      </w:r>
      <w:proofErr w:type="spellStart"/>
      <w:r>
        <w:t>Cth</w:t>
      </w:r>
      <w:proofErr w:type="spellEnd"/>
      <w:r>
        <w:t>), asserting that retention of the existing non-communicating meter constitutes a reasonable adjustment required by Commonwealth law. The DDA is a Commonwealth Act of Parliament; the AEMC's rule is subordinate legislation made under the National Electricity (South Australia) Act 1996. In any conflict between them, the DDA prevails. I give advance notice of this forthcoming instrument so that your organisation has adequate time to obtain its own legal advice.</w:t>
      </w:r>
    </w:p>
    <w:p w14:paraId="5D8F08B7" w14:textId="77777777" w:rsidR="00AA53E5" w:rsidRDefault="00AA53E5">
      <w:pPr>
        <w:spacing w:before="55" w:after="55"/>
      </w:pPr>
    </w:p>
    <w:p w14:paraId="534E3CEE" w14:textId="77777777" w:rsidR="00AA53E5" w:rsidRDefault="00000000">
      <w:pPr>
        <w:pStyle w:val="Heading1"/>
      </w:pPr>
      <w:r>
        <w:t>11. Off-Grid NMI Abolishment: A Live Commercial Alternative</w:t>
      </w:r>
    </w:p>
    <w:p w14:paraId="7B84583D" w14:textId="77777777" w:rsidR="00AA53E5" w:rsidRDefault="00000000">
      <w:pPr>
        <w:spacing w:before="110" w:after="110"/>
        <w:jc w:val="both"/>
      </w:pPr>
      <w:r>
        <w:lastRenderedPageBreak/>
        <w:t>Going fully off-grid in Australia is entirely legal. The process is called abolishment: the permanent removal of the NMI from the supply address. Once the NMI is abolished, the AEMC's metering mandate has nothing to attach to. There is no grid connection and therefore no metering obligation. Abolishment severs the regulatory relationship entirely and permanently.</w:t>
      </w:r>
    </w:p>
    <w:p w14:paraId="1F3A1DF0" w14:textId="77777777" w:rsidR="00AA53E5" w:rsidRDefault="00AA53E5">
      <w:pPr>
        <w:spacing w:before="55" w:after="55"/>
      </w:pPr>
    </w:p>
    <w:p w14:paraId="139B4ABF" w14:textId="77777777" w:rsidR="00AA53E5" w:rsidRDefault="00000000">
      <w:pPr>
        <w:spacing w:before="110" w:after="110"/>
        <w:jc w:val="both"/>
      </w:pPr>
      <w:r>
        <w:t>Under the federal government's Cheaper Home Batteries Program, 28 kWh LFP battery systems are currently available from installers in most states at approximately $7,900 to $9,500 installed after rebate, with full NMI abolishment transition estimated at $9,000 to $12,000 for a typical residential property.</w:t>
      </w:r>
    </w:p>
    <w:p w14:paraId="478F2A99" w14:textId="77777777" w:rsidR="00AA53E5" w:rsidRDefault="00AA53E5">
      <w:pPr>
        <w:spacing w:before="55" w:after="55"/>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5E73325C" w14:textId="77777777">
        <w:tc>
          <w:tcPr>
            <w:tcW w:w="9026" w:type="dxa"/>
            <w:tcBorders>
              <w:top w:val="single" w:sz="4" w:space="0" w:color="3B82F6"/>
              <w:left w:val="single" w:sz="14" w:space="0" w:color="3B82F6"/>
              <w:bottom w:val="single" w:sz="4" w:space="0" w:color="3B82F6"/>
              <w:right w:val="single" w:sz="4" w:space="0" w:color="3B82F6"/>
            </w:tcBorders>
            <w:shd w:val="clear" w:color="auto" w:fill="E8F0FE"/>
            <w:tcMar>
              <w:top w:w="120" w:type="dxa"/>
              <w:left w:w="200" w:type="dxa"/>
              <w:bottom w:w="120" w:type="dxa"/>
              <w:right w:w="200" w:type="dxa"/>
            </w:tcMar>
          </w:tcPr>
          <w:p w14:paraId="5A6205AC" w14:textId="77777777" w:rsidR="00AA53E5" w:rsidRDefault="00000000">
            <w:pPr>
              <w:spacing w:before="60" w:after="60"/>
            </w:pPr>
            <w:proofErr w:type="gramStart"/>
            <w:r>
              <w:rPr>
                <w:b/>
                <w:bCs/>
                <w:color w:val="1D4E8F"/>
              </w:rPr>
              <w:t>ℹ️  PERSONALISE</w:t>
            </w:r>
            <w:proofErr w:type="gramEnd"/>
            <w:r>
              <w:rPr>
                <w:b/>
                <w:bCs/>
                <w:color w:val="1D4E8F"/>
              </w:rPr>
              <w:t xml:space="preserve"> THE OFF-GRID ARGUMENT</w:t>
            </w:r>
          </w:p>
          <w:p w14:paraId="7D808C5E" w14:textId="77777777" w:rsidR="00AA53E5" w:rsidRDefault="00000000">
            <w:pPr>
              <w:spacing w:before="50" w:after="50"/>
            </w:pPr>
            <w:r>
              <w:rPr>
                <w:sz w:val="20"/>
                <w:szCs w:val="20"/>
              </w:rPr>
              <w:t>This section functions as commercial leverage only if it is credible. Tailor it to your actual situation.</w:t>
            </w:r>
          </w:p>
          <w:p w14:paraId="47960023" w14:textId="77777777" w:rsidR="00AA53E5" w:rsidRDefault="00AA53E5">
            <w:pPr>
              <w:spacing w:before="50" w:after="50"/>
            </w:pPr>
          </w:p>
          <w:p w14:paraId="609020A5" w14:textId="77777777" w:rsidR="00AA53E5" w:rsidRDefault="00000000">
            <w:pPr>
              <w:spacing w:before="50" w:after="50"/>
            </w:pPr>
            <w:r>
              <w:rPr>
                <w:sz w:val="20"/>
                <w:szCs w:val="20"/>
              </w:rPr>
              <w:t>Existing solar PV (kW): [insert, or remove solar reference if none]</w:t>
            </w:r>
          </w:p>
          <w:p w14:paraId="1441434B" w14:textId="77777777" w:rsidR="00AA53E5" w:rsidRDefault="00000000">
            <w:pPr>
              <w:spacing w:before="50" w:after="50"/>
            </w:pPr>
            <w:r>
              <w:rPr>
                <w:sz w:val="20"/>
                <w:szCs w:val="20"/>
              </w:rPr>
              <w:t>Existing battery storage: [insert, or remove if none]</w:t>
            </w:r>
          </w:p>
          <w:p w14:paraId="26BF568F" w14:textId="77777777" w:rsidR="00AA53E5" w:rsidRDefault="00000000">
            <w:pPr>
              <w:spacing w:before="50" w:after="50"/>
            </w:pPr>
            <w:r>
              <w:rPr>
                <w:sz w:val="20"/>
                <w:szCs w:val="20"/>
              </w:rPr>
              <w:t>Local installer quotes obtained: [yes / no / in progress]</w:t>
            </w:r>
          </w:p>
          <w:p w14:paraId="15687C46" w14:textId="77777777" w:rsidR="00AA53E5" w:rsidRDefault="00AA53E5">
            <w:pPr>
              <w:spacing w:before="50" w:after="50"/>
            </w:pPr>
          </w:p>
          <w:p w14:paraId="6474587A" w14:textId="77777777" w:rsidR="00AA53E5" w:rsidRDefault="00000000">
            <w:pPr>
              <w:spacing w:before="50" w:after="50"/>
            </w:pPr>
            <w:r>
              <w:rPr>
                <w:sz w:val="20"/>
                <w:szCs w:val="20"/>
              </w:rPr>
              <w:t>If you have no solar and off-grid is not a realistic option, consider replacing this section with: "I am aware that NMI abolishment is a legal option that removes this property from the AEMC's mandate entirely, and I note it formally here."</w:t>
            </w:r>
          </w:p>
        </w:tc>
      </w:tr>
    </w:tbl>
    <w:p w14:paraId="045FDECC" w14:textId="77777777" w:rsidR="00AA53E5" w:rsidRDefault="00AA53E5">
      <w:pPr>
        <w:spacing w:before="55" w:after="55"/>
      </w:pPr>
    </w:p>
    <w:p w14:paraId="6CF2F6BF" w14:textId="77777777" w:rsidR="00AA53E5" w:rsidRDefault="00000000">
      <w:pPr>
        <w:spacing w:before="110" w:after="110"/>
        <w:jc w:val="both"/>
      </w:pPr>
      <w:r>
        <w:t>Permanent abolishment of the NMI at this premises removes this property from your organisation's customer base permanently. I raise this not as rhetoric but as a live commercial decision under active evaluation. I trust the implications are self-evident.</w:t>
      </w:r>
    </w:p>
    <w:p w14:paraId="3FF0F7E5" w14:textId="77777777" w:rsidR="00AA53E5" w:rsidRDefault="00AA53E5">
      <w:pPr>
        <w:spacing w:before="55" w:after="55"/>
      </w:pPr>
    </w:p>
    <w:p w14:paraId="1A62E56F" w14:textId="77777777" w:rsidR="00AA53E5" w:rsidRDefault="00000000">
      <w:pPr>
        <w:pStyle w:val="Heading1"/>
      </w:pPr>
      <w:r>
        <w:t>12. The Minimum I Will Accept Before Any Installation Proceeds</w:t>
      </w:r>
    </w:p>
    <w:p w14:paraId="5F08939C" w14:textId="77777777" w:rsidR="00AA53E5" w:rsidRDefault="00000000">
      <w:pPr>
        <w:spacing w:before="110" w:after="110"/>
        <w:jc w:val="both"/>
      </w:pPr>
      <w:r>
        <w:t>Having set out the grounds on which I object to any smart meter installation at this premises, I state the following as the absolute minimum position short of full refusal that I will consider.</w:t>
      </w:r>
    </w:p>
    <w:p w14:paraId="6713C207" w14:textId="77777777" w:rsidR="00AA53E5" w:rsidRDefault="00AA53E5">
      <w:pPr>
        <w:spacing w:before="55" w:after="55"/>
      </w:pPr>
    </w:p>
    <w:p w14:paraId="7C077822" w14:textId="77777777" w:rsidR="00AA53E5" w:rsidRDefault="00000000">
      <w:pPr>
        <w:spacing w:before="110" w:after="110"/>
        <w:jc w:val="both"/>
      </w:pPr>
      <w:r>
        <w:t>The only meter I will accept, if installation must proceed at all, is a Type 4A non-communicating smart meter with all radiofrequency transmission, remote access, and demand-side management capabilities disabled permanently at the hardware level prior to any connection to my infrastructure. This right is confirmed in the Australian Energy Regulator's Guidance to Retailers (2025). This is not a preference: it is the floor below which no negotiation exists.</w:t>
      </w:r>
    </w:p>
    <w:p w14:paraId="45989847" w14:textId="77777777" w:rsidR="00AA53E5" w:rsidRDefault="00AA53E5">
      <w:pPr>
        <w:spacing w:before="55" w:after="55"/>
      </w:pPr>
    </w:p>
    <w:p w14:paraId="0A16B33D" w14:textId="77777777" w:rsidR="00AA53E5" w:rsidRDefault="00000000">
      <w:pPr>
        <w:spacing w:before="110" w:after="110"/>
        <w:jc w:val="both"/>
      </w:pPr>
      <w:r>
        <w:t>Even acceptance of a Type 4A is conditional upon prior receipt in writing of all of the following:</w:t>
      </w:r>
    </w:p>
    <w:p w14:paraId="23E6DDAA" w14:textId="77777777" w:rsidR="00AA53E5" w:rsidRDefault="00AA53E5">
      <w:pPr>
        <w:spacing w:before="55" w:after="55"/>
      </w:pPr>
    </w:p>
    <w:p w14:paraId="6AD28691" w14:textId="77777777" w:rsidR="00AA53E5" w:rsidRDefault="00000000">
      <w:pPr>
        <w:pStyle w:val="ListParagraph"/>
        <w:numPr>
          <w:ilvl w:val="0"/>
          <w:numId w:val="2"/>
        </w:numPr>
        <w:spacing w:before="75" w:after="75"/>
        <w:jc w:val="both"/>
      </w:pPr>
      <w:r>
        <w:t>The written indemnity described in Section 5.</w:t>
      </w:r>
    </w:p>
    <w:p w14:paraId="29815147" w14:textId="77777777" w:rsidR="00AA53E5" w:rsidRDefault="00000000">
      <w:pPr>
        <w:pStyle w:val="ListParagraph"/>
        <w:numPr>
          <w:ilvl w:val="0"/>
          <w:numId w:val="2"/>
        </w:numPr>
        <w:spacing w:before="75" w:after="75"/>
        <w:jc w:val="both"/>
      </w:pPr>
      <w:r>
        <w:t>The independent electrical safety assessment described in Section 5.</w:t>
      </w:r>
    </w:p>
    <w:p w14:paraId="6117DA25" w14:textId="77777777" w:rsidR="00AA53E5" w:rsidRDefault="00000000">
      <w:pPr>
        <w:pStyle w:val="ListParagraph"/>
        <w:numPr>
          <w:ilvl w:val="0"/>
          <w:numId w:val="2"/>
        </w:numPr>
        <w:spacing w:before="75" w:after="75"/>
        <w:jc w:val="both"/>
      </w:pPr>
      <w:r>
        <w:t xml:space="preserve">Confirmation that the metering coordinator has been specifically instructed to attend with and install a Type 4A device only: </w:t>
      </w:r>
      <w:r>
        <w:rPr>
          <w:i/>
          <w:iCs/>
        </w:rPr>
        <w:t>[insert metering coordinator name]</w:t>
      </w:r>
    </w:p>
    <w:p w14:paraId="6B18B6F9" w14:textId="77777777" w:rsidR="00AA53E5" w:rsidRDefault="00000000">
      <w:pPr>
        <w:pStyle w:val="ListParagraph"/>
        <w:numPr>
          <w:ilvl w:val="0"/>
          <w:numId w:val="2"/>
        </w:numPr>
        <w:spacing w:before="75" w:after="75"/>
        <w:jc w:val="both"/>
      </w:pPr>
      <w:r>
        <w:lastRenderedPageBreak/>
        <w:t>Confirmation of the cybersecurity standards and data handling arrangements described in Section 6.</w:t>
      </w:r>
    </w:p>
    <w:p w14:paraId="2E306020" w14:textId="77777777" w:rsidR="00AA53E5" w:rsidRDefault="00000000">
      <w:pPr>
        <w:pStyle w:val="ListParagraph"/>
        <w:numPr>
          <w:ilvl w:val="0"/>
          <w:numId w:val="2"/>
        </w:numPr>
        <w:spacing w:before="75" w:after="75"/>
        <w:jc w:val="both"/>
      </w:pPr>
      <w:r>
        <w:t>Confirmation that billing will be independently auditable at my request at no cost.</w:t>
      </w:r>
    </w:p>
    <w:p w14:paraId="10E4743C" w14:textId="77777777" w:rsidR="00AA53E5" w:rsidRDefault="00000000">
      <w:pPr>
        <w:pStyle w:val="ListParagraph"/>
        <w:numPr>
          <w:ilvl w:val="0"/>
          <w:numId w:val="2"/>
        </w:numPr>
        <w:spacing w:before="75" w:after="75"/>
        <w:jc w:val="both"/>
      </w:pPr>
      <w:r>
        <w:t>Written answers to every specific question posed in Sections 1, 2, and 3.</w:t>
      </w:r>
    </w:p>
    <w:p w14:paraId="274BD5A6" w14:textId="77777777" w:rsidR="00AA53E5" w:rsidRDefault="00000000">
      <w:pPr>
        <w:pStyle w:val="ListParagraph"/>
        <w:numPr>
          <w:ilvl w:val="0"/>
          <w:numId w:val="2"/>
        </w:numPr>
        <w:spacing w:before="75" w:after="75"/>
        <w:jc w:val="both"/>
      </w:pPr>
      <w:r>
        <w:t>Written confirmation of NMA section 4A pattern approval and Utility Meter Verifier certification for any replacement device, as required in Section 2.</w:t>
      </w:r>
    </w:p>
    <w:p w14:paraId="23500F75" w14:textId="77777777" w:rsidR="00AA53E5" w:rsidRDefault="00AA53E5">
      <w:pPr>
        <w:spacing w:before="55" w:after="55"/>
      </w:pPr>
    </w:p>
    <w:p w14:paraId="516DC04A" w14:textId="77777777" w:rsidR="00AA53E5" w:rsidRDefault="00000000">
      <w:pPr>
        <w:spacing w:before="110" w:after="110"/>
        <w:jc w:val="both"/>
      </w:pPr>
      <w:r>
        <w:t>Absent all of the above, no installation of any kind is authorised at this premises.</w:t>
      </w:r>
    </w:p>
    <w:p w14:paraId="7A76A6FA" w14:textId="77777777" w:rsidR="00AA53E5" w:rsidRDefault="00AA53E5">
      <w:pPr>
        <w:spacing w:before="55" w:after="55"/>
      </w:pPr>
    </w:p>
    <w:p w14:paraId="34F0CBB1" w14:textId="77777777" w:rsidR="00AA53E5" w:rsidRDefault="00000000">
      <w:pPr>
        <w:pStyle w:val="Heading1"/>
      </w:pPr>
      <w:r>
        <w:t>13. Required Response, Default Conditions, and Escalation Path</w:t>
      </w:r>
    </w:p>
    <w:p w14:paraId="14C31D58" w14:textId="77777777" w:rsidR="00AA53E5" w:rsidRDefault="00000000">
      <w:pPr>
        <w:spacing w:before="110" w:after="110"/>
        <w:jc w:val="both"/>
      </w:pPr>
      <w:r>
        <w:t xml:space="preserve">I require written responses to every question and requirement in this letter within five business days of </w:t>
      </w:r>
      <w:r>
        <w:rPr>
          <w:i/>
          <w:iCs/>
        </w:rPr>
        <w:t>[date of this letter]</w:t>
      </w:r>
      <w:r>
        <w:t xml:space="preserve">. The five-business-day deadline falls on </w:t>
      </w:r>
      <w:r>
        <w:rPr>
          <w:i/>
          <w:iCs/>
        </w:rPr>
        <w:t>[insert calculated date]</w:t>
      </w:r>
      <w:r>
        <w:t>.</w:t>
      </w:r>
    </w:p>
    <w:p w14:paraId="1C497CDB" w14:textId="77777777" w:rsidR="00AA53E5" w:rsidRDefault="00AA53E5">
      <w:pPr>
        <w:spacing w:before="55" w:after="55"/>
      </w:pPr>
    </w:p>
    <w:p w14:paraId="4A47A6C3" w14:textId="77777777" w:rsidR="00AA53E5" w:rsidRDefault="00000000">
      <w:pPr>
        <w:spacing w:before="110" w:after="110"/>
        <w:jc w:val="both"/>
      </w:pPr>
      <w:r>
        <w:t>An adequate response is a written document, signed by an authorised officer of your organisation, that answers every specific question posed in Sections 1, 2, and 3; provides every item required in Sections 5 and 6; and confirms every condition stated in Section 12. Automated acknowledgements, form letters, and references to ARPANSA's website do not constitute adequate responses.</w:t>
      </w:r>
    </w:p>
    <w:p w14:paraId="39D57270" w14:textId="77777777" w:rsidR="00AA53E5" w:rsidRDefault="00AA53E5">
      <w:pPr>
        <w:spacing w:before="55" w:after="55"/>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650CBF72" w14:textId="77777777">
        <w:tc>
          <w:tcPr>
            <w:tcW w:w="9026" w:type="dxa"/>
            <w:tcBorders>
              <w:top w:val="single" w:sz="4" w:space="0" w:color="DC2626"/>
              <w:left w:val="single" w:sz="14" w:space="0" w:color="DC2626"/>
              <w:bottom w:val="single" w:sz="4" w:space="0" w:color="DC2626"/>
              <w:right w:val="single" w:sz="4" w:space="0" w:color="DC2626"/>
            </w:tcBorders>
            <w:shd w:val="clear" w:color="auto" w:fill="FEE2E2"/>
            <w:tcMar>
              <w:top w:w="120" w:type="dxa"/>
              <w:left w:w="200" w:type="dxa"/>
              <w:bottom w:w="120" w:type="dxa"/>
              <w:right w:w="200" w:type="dxa"/>
            </w:tcMar>
          </w:tcPr>
          <w:p w14:paraId="4C94063B" w14:textId="77777777" w:rsidR="00AA53E5" w:rsidRDefault="00000000">
            <w:pPr>
              <w:spacing w:before="60" w:after="60"/>
            </w:pPr>
            <w:r>
              <w:rPr>
                <w:b/>
                <w:bCs/>
                <w:color w:val="7F1D1D"/>
              </w:rPr>
              <w:t>⚠</w:t>
            </w:r>
            <w:proofErr w:type="gramStart"/>
            <w:r>
              <w:rPr>
                <w:b/>
                <w:bCs/>
                <w:color w:val="7F1D1D"/>
              </w:rPr>
              <w:t>️  AUTOMATIC</w:t>
            </w:r>
            <w:proofErr w:type="gramEnd"/>
            <w:r>
              <w:rPr>
                <w:b/>
                <w:bCs/>
                <w:color w:val="7F1D1D"/>
              </w:rPr>
              <w:t xml:space="preserve"> DEFAULT CONDITIONS: OPERATIVE FROM DAY SIX</w:t>
            </w:r>
          </w:p>
          <w:p w14:paraId="65BFF394" w14:textId="77777777" w:rsidR="00AA53E5" w:rsidRDefault="00000000">
            <w:pPr>
              <w:spacing w:before="50" w:after="50"/>
            </w:pPr>
            <w:r>
              <w:rPr>
                <w:sz w:val="20"/>
                <w:szCs w:val="20"/>
              </w:rPr>
              <w:t>If no adequate written response is received within five business days of the date of this letter, the following conditions apply automatically by operation of your omission. No separate notice or follow-up letter is required from me.</w:t>
            </w:r>
          </w:p>
          <w:p w14:paraId="0FF04F0F" w14:textId="77777777" w:rsidR="00AA53E5" w:rsidRDefault="00AA53E5">
            <w:pPr>
              <w:spacing w:before="50" w:after="50"/>
            </w:pPr>
          </w:p>
          <w:p w14:paraId="1115A135" w14:textId="77777777" w:rsidR="00AA53E5" w:rsidRDefault="00000000">
            <w:pPr>
              <w:spacing w:before="50" w:after="50"/>
            </w:pPr>
            <w:r>
              <w:rPr>
                <w:sz w:val="20"/>
                <w:szCs w:val="20"/>
              </w:rPr>
              <w:t>DEFAULT CONDITION 1: Every ground, argument, and claim stated in this letter is deemed uncontested on the record. Your organisation's failure to respond constitutes a failure to challenge any of them.</w:t>
            </w:r>
          </w:p>
          <w:p w14:paraId="05D62EEC" w14:textId="77777777" w:rsidR="00AA53E5" w:rsidRDefault="00AA53E5">
            <w:pPr>
              <w:spacing w:before="50" w:after="50"/>
            </w:pPr>
          </w:p>
          <w:p w14:paraId="04D2BDD9" w14:textId="77777777" w:rsidR="00AA53E5" w:rsidRDefault="00000000">
            <w:pPr>
              <w:spacing w:before="50" w:after="50"/>
            </w:pPr>
            <w:r>
              <w:rPr>
                <w:sz w:val="20"/>
                <w:szCs w:val="20"/>
              </w:rPr>
              <w:t>DEFAULT CONDITION 2: The matter is closed on the terms stated in this letter. No smart meter installation of any kind is authorised at this premises. The Type 4A fallback stated in Section 12 was conditional on provision of items your organisation has failed to provide; that condition is not met and no installation is therefore authorised on any basis.</w:t>
            </w:r>
          </w:p>
          <w:p w14:paraId="23C9E475" w14:textId="77777777" w:rsidR="00AA53E5" w:rsidRDefault="00AA53E5">
            <w:pPr>
              <w:spacing w:before="50" w:after="50"/>
            </w:pPr>
          </w:p>
          <w:p w14:paraId="134E1FF1" w14:textId="77777777" w:rsidR="00AA53E5" w:rsidRDefault="00000000">
            <w:pPr>
              <w:spacing w:before="50" w:after="50"/>
            </w:pPr>
            <w:r>
              <w:rPr>
                <w:sz w:val="20"/>
                <w:szCs w:val="20"/>
              </w:rPr>
              <w:t>DEFAULT CONDITION 3: No further correspondence on this matter will be accepted from your organisation unless it constitutes written confirmation, signed by an authorised officer, of full compliance with every requirement in this letter. Correspondence not meeting this description will be filed without response.</w:t>
            </w:r>
          </w:p>
          <w:p w14:paraId="372C264F" w14:textId="77777777" w:rsidR="00AA53E5" w:rsidRDefault="00AA53E5">
            <w:pPr>
              <w:spacing w:before="50" w:after="50"/>
            </w:pPr>
          </w:p>
          <w:p w14:paraId="33C682A9" w14:textId="77777777" w:rsidR="00AA53E5" w:rsidRDefault="00000000">
            <w:pPr>
              <w:spacing w:before="50" w:after="50"/>
            </w:pPr>
            <w:r>
              <w:rPr>
                <w:sz w:val="20"/>
                <w:szCs w:val="20"/>
              </w:rPr>
              <w:t>DEFAULT CONDITION 4: All rights, claims, and remedies stated and reserved in this letter remain fully operative. Nothing in this default closes off any avenue of enforcement.</w:t>
            </w:r>
          </w:p>
          <w:p w14:paraId="618F5EB1" w14:textId="77777777" w:rsidR="00AA53E5" w:rsidRDefault="00AA53E5">
            <w:pPr>
              <w:spacing w:before="50" w:after="50"/>
            </w:pPr>
          </w:p>
          <w:p w14:paraId="54308936" w14:textId="77777777" w:rsidR="00AA53E5" w:rsidRDefault="00000000">
            <w:pPr>
              <w:spacing w:before="50" w:after="50"/>
            </w:pPr>
            <w:r>
              <w:rPr>
                <w:sz w:val="20"/>
                <w:szCs w:val="20"/>
              </w:rPr>
              <w:t>DEFAULT CONDITION 5: Should any metering coordinator attend this premises for the purpose of a smart meter installation at any future date, they will be advised on arrival that no installation is authorised; that a formal record of objection and default exists; and that all criminal, civil, and regulatory consequences described in this letter are operative. Notice to principal is notice to agent, and notice to agent is notice to principal. This notice is therefore binding on all agents, contractors, metering coordinators, and field personnel acting under your authority.</w:t>
            </w:r>
          </w:p>
        </w:tc>
      </w:tr>
    </w:tbl>
    <w:p w14:paraId="351968A8" w14:textId="77777777" w:rsidR="00AA53E5" w:rsidRDefault="00AA53E5">
      <w:pPr>
        <w:spacing w:before="55" w:after="55"/>
      </w:pPr>
    </w:p>
    <w:p w14:paraId="2AD0D29E" w14:textId="77777777" w:rsidR="00AA53E5" w:rsidRDefault="00000000">
      <w:pPr>
        <w:spacing w:before="110" w:after="110"/>
        <w:jc w:val="both"/>
      </w:pPr>
      <w:r>
        <w:t>Whether or not an adequate response is received, the following escalation steps remain available and will be initiated as circumstances require:</w:t>
      </w:r>
    </w:p>
    <w:p w14:paraId="282CCC38" w14:textId="77777777" w:rsidR="00AA53E5" w:rsidRDefault="00AA53E5">
      <w:pPr>
        <w:spacing w:before="55" w:after="55"/>
      </w:pPr>
    </w:p>
    <w:p w14:paraId="59A34B7F" w14:textId="77777777" w:rsidR="00AA53E5" w:rsidRDefault="00000000">
      <w:pPr>
        <w:pStyle w:val="ListParagraph"/>
        <w:numPr>
          <w:ilvl w:val="0"/>
          <w:numId w:val="2"/>
        </w:numPr>
        <w:spacing w:before="75" w:after="75"/>
        <w:jc w:val="both"/>
      </w:pPr>
      <w:r>
        <w:t>A formal complaint to the Australian Energy Regulator for breach of the National Electricity Rules, the National Energy Retail Rules, and the AER's Guidance to Retailers.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7669B871" w14:textId="77777777">
        <w:tc>
          <w:tcPr>
            <w:tcW w:w="9026" w:type="dxa"/>
            <w:tcBorders>
              <w:top w:val="single" w:sz="4" w:space="0" w:color="3B82F6"/>
              <w:left w:val="single" w:sz="14" w:space="0" w:color="3B82F6"/>
              <w:bottom w:val="single" w:sz="4" w:space="0" w:color="3B82F6"/>
              <w:right w:val="single" w:sz="4" w:space="0" w:color="3B82F6"/>
            </w:tcBorders>
            <w:shd w:val="clear" w:color="auto" w:fill="E8F0FE"/>
            <w:tcMar>
              <w:top w:w="120" w:type="dxa"/>
              <w:left w:w="200" w:type="dxa"/>
              <w:bottom w:w="120" w:type="dxa"/>
              <w:right w:w="200" w:type="dxa"/>
            </w:tcMar>
          </w:tcPr>
          <w:p w14:paraId="68942817" w14:textId="77777777" w:rsidR="00AA53E5" w:rsidRDefault="00000000">
            <w:pPr>
              <w:spacing w:before="60" w:after="60"/>
            </w:pPr>
            <w:proofErr w:type="gramStart"/>
            <w:r>
              <w:rPr>
                <w:b/>
                <w:bCs/>
                <w:color w:val="1D4E8F"/>
              </w:rPr>
              <w:t>ℹ️  ENERGY</w:t>
            </w:r>
            <w:proofErr w:type="gramEnd"/>
            <w:r>
              <w:rPr>
                <w:b/>
                <w:bCs/>
                <w:color w:val="1D4E8F"/>
              </w:rPr>
              <w:t xml:space="preserve"> OMBUDSMAN CONTACTS BY STATE/TERRITORY</w:t>
            </w:r>
          </w:p>
          <w:p w14:paraId="16D2FC36" w14:textId="77777777" w:rsidR="00AA53E5" w:rsidRDefault="00000000">
            <w:pPr>
              <w:spacing w:before="50" w:after="50"/>
            </w:pPr>
            <w:r>
              <w:rPr>
                <w:sz w:val="20"/>
                <w:szCs w:val="20"/>
              </w:rPr>
              <w:t>Queensland: Energy and Water Ombudsman Queensland (EWOQ): 1800 662 837</w:t>
            </w:r>
          </w:p>
          <w:p w14:paraId="37224EC7" w14:textId="77777777" w:rsidR="00AA53E5" w:rsidRDefault="00000000">
            <w:pPr>
              <w:spacing w:before="50" w:after="50"/>
            </w:pPr>
            <w:r>
              <w:rPr>
                <w:sz w:val="20"/>
                <w:szCs w:val="20"/>
              </w:rPr>
              <w:t>New South Wales: Energy &amp; Water Ombudsman NSW (EWON): 1800 246 545</w:t>
            </w:r>
          </w:p>
          <w:p w14:paraId="3A34F3BF" w14:textId="77777777" w:rsidR="00AA53E5" w:rsidRDefault="00000000">
            <w:pPr>
              <w:spacing w:before="50" w:after="50"/>
            </w:pPr>
            <w:r>
              <w:rPr>
                <w:sz w:val="20"/>
                <w:szCs w:val="20"/>
              </w:rPr>
              <w:t>Victoria: Energy and Water Ombudsman Victoria (EWOV): 1800 500 509</w:t>
            </w:r>
          </w:p>
          <w:p w14:paraId="1C77BCDB" w14:textId="77777777" w:rsidR="00AA53E5" w:rsidRDefault="00000000">
            <w:pPr>
              <w:spacing w:before="50" w:after="50"/>
            </w:pPr>
            <w:r>
              <w:rPr>
                <w:sz w:val="20"/>
                <w:szCs w:val="20"/>
              </w:rPr>
              <w:t>South Australia: Energy and Water Ombudsman SA (EWOSA): 1800 665 565</w:t>
            </w:r>
          </w:p>
          <w:p w14:paraId="3894E890" w14:textId="77777777" w:rsidR="00AA53E5" w:rsidRDefault="00000000">
            <w:pPr>
              <w:spacing w:before="50" w:after="50"/>
            </w:pPr>
            <w:r>
              <w:rPr>
                <w:sz w:val="20"/>
                <w:szCs w:val="20"/>
              </w:rPr>
              <w:t>Western Australia: Energy and Water Ombudsman WA (EWOWA): 1800 754 004</w:t>
            </w:r>
          </w:p>
          <w:p w14:paraId="43AAAF55" w14:textId="77777777" w:rsidR="00AA53E5" w:rsidRDefault="00000000">
            <w:pPr>
              <w:spacing w:before="50" w:after="50"/>
            </w:pPr>
            <w:r>
              <w:rPr>
                <w:sz w:val="20"/>
                <w:szCs w:val="20"/>
              </w:rPr>
              <w:t>Tasmania: Ombudsman Tasmania: 1800 001 170</w:t>
            </w:r>
          </w:p>
          <w:p w14:paraId="0615339D" w14:textId="77777777" w:rsidR="00AA53E5" w:rsidRDefault="00000000">
            <w:pPr>
              <w:spacing w:before="50" w:after="50"/>
            </w:pPr>
            <w:r>
              <w:rPr>
                <w:sz w:val="20"/>
                <w:szCs w:val="20"/>
              </w:rPr>
              <w:t>ACT: ACT Civil and Administrative Tribunal (ACAT) handles energy disputes.</w:t>
            </w:r>
          </w:p>
        </w:tc>
      </w:tr>
    </w:tbl>
    <w:p w14:paraId="50D5BFE9" w14:textId="77777777" w:rsidR="00AA53E5" w:rsidRDefault="00AA53E5">
      <w:pPr>
        <w:spacing w:before="55" w:after="55"/>
      </w:pPr>
    </w:p>
    <w:p w14:paraId="33302709" w14:textId="77777777" w:rsidR="00AA53E5" w:rsidRDefault="00000000">
      <w:pPr>
        <w:pStyle w:val="ListParagraph"/>
        <w:numPr>
          <w:ilvl w:val="0"/>
          <w:numId w:val="2"/>
        </w:numPr>
        <w:spacing w:before="75" w:after="75"/>
        <w:jc w:val="both"/>
      </w:pPr>
      <w:r>
        <w:rPr>
          <w:b/>
          <w:bCs/>
        </w:rPr>
        <w:t xml:space="preserve">Escalation to the Energy Ombudsman: </w:t>
      </w:r>
      <w:r>
        <w:rPr>
          <w:i/>
          <w:iCs/>
        </w:rPr>
        <w:t>[insert Ombudsman name and number from box above for your state]</w:t>
      </w:r>
    </w:p>
    <w:p w14:paraId="5956527E" w14:textId="77777777" w:rsidR="00AA53E5" w:rsidRDefault="00000000">
      <w:pPr>
        <w:pStyle w:val="ListParagraph"/>
        <w:numPr>
          <w:ilvl w:val="0"/>
          <w:numId w:val="2"/>
        </w:numPr>
        <w:spacing w:before="75" w:after="75"/>
        <w:jc w:val="both"/>
      </w:pPr>
      <w:r>
        <w:t>A formal DDA section 24 accommodation request upon receipt of medical documentation currently pending.</w:t>
      </w:r>
    </w:p>
    <w:p w14:paraId="5FA79DE3" w14:textId="77777777" w:rsidR="00AA53E5" w:rsidRDefault="00000000">
      <w:pPr>
        <w:pStyle w:val="ListParagraph"/>
        <w:numPr>
          <w:ilvl w:val="0"/>
          <w:numId w:val="2"/>
        </w:numPr>
        <w:spacing w:before="75" w:after="75"/>
        <w:jc w:val="both"/>
      </w:pPr>
      <w:r>
        <w:t>A formal rule change request to the AEMC asserting that the November 2024 determination failed to discharge the NEO's statutory safety criterion, and separately that the determination failed to address the Commonwealth statutory inconsistency identified in Section 2.</w:t>
      </w:r>
    </w:p>
    <w:p w14:paraId="3C60FFCE" w14:textId="77777777" w:rsidR="00AA53E5" w:rsidRDefault="00000000">
      <w:pPr>
        <w:pStyle w:val="ListParagraph"/>
        <w:numPr>
          <w:ilvl w:val="0"/>
          <w:numId w:val="2"/>
        </w:numPr>
        <w:spacing w:before="75" w:after="75"/>
        <w:jc w:val="both"/>
      </w:pPr>
      <w:r>
        <w:t>Placement of the criminal liability notice in Section 8 before police and before counsel for consideration of proceedings under applicable Criminal Code provisions.</w:t>
      </w:r>
    </w:p>
    <w:p w14:paraId="704262B7" w14:textId="77777777" w:rsidR="00AA53E5" w:rsidRDefault="00000000">
      <w:pPr>
        <w:pStyle w:val="ListParagraph"/>
        <w:numPr>
          <w:ilvl w:val="0"/>
          <w:numId w:val="2"/>
        </w:numPr>
        <w:spacing w:before="75" w:after="75"/>
        <w:jc w:val="both"/>
      </w:pPr>
      <w:r>
        <w:t>Reservation of all rights in relation to civil proceedings in negligence, trespass, nuisance, and any harm, including fire damage and insurance coverage failure, attributable to any non-consensual installation at this premises.</w:t>
      </w:r>
    </w:p>
    <w:p w14:paraId="3DD2015D" w14:textId="77777777" w:rsidR="00AA53E5" w:rsidRDefault="00000000">
      <w:pPr>
        <w:pStyle w:val="ListParagraph"/>
        <w:numPr>
          <w:ilvl w:val="0"/>
          <w:numId w:val="2"/>
        </w:numPr>
        <w:spacing w:before="75" w:after="75"/>
        <w:jc w:val="both"/>
      </w:pPr>
      <w:r>
        <w:t>Commencement of the NMI abolishment process and transition to full off-grid operation.</w:t>
      </w:r>
    </w:p>
    <w:p w14:paraId="3C8B226E" w14:textId="77777777" w:rsidR="00AA53E5" w:rsidRDefault="00AA53E5">
      <w:pPr>
        <w:spacing w:before="55" w:after="55"/>
      </w:pPr>
    </w:p>
    <w:p w14:paraId="40B4A10A" w14:textId="77777777" w:rsidR="00AA53E5" w:rsidRDefault="00000000">
      <w:pPr>
        <w:spacing w:before="110" w:after="110"/>
        <w:jc w:val="both"/>
      </w:pPr>
      <w:r>
        <w:t>I have set out my position with precision and without ambiguity. I am not difficult to deal with when my rights and my property are respected. I am a person who will pursue every available avenue when they are not, and I have made myself thoroughly familiar with what those avenues are.</w:t>
      </w:r>
    </w:p>
    <w:p w14:paraId="6C92D69F" w14:textId="77777777" w:rsidR="00AA53E5" w:rsidRDefault="00AA53E5">
      <w:pPr>
        <w:spacing w:before="55" w:after="55"/>
      </w:pPr>
    </w:p>
    <w:p w14:paraId="5840715E" w14:textId="77777777" w:rsidR="00AA53E5" w:rsidRDefault="00000000">
      <w:pPr>
        <w:spacing w:before="110" w:after="110"/>
        <w:jc w:val="both"/>
      </w:pPr>
      <w:r>
        <w:t xml:space="preserve">I expect your written response by </w:t>
      </w:r>
      <w:r>
        <w:rPr>
          <w:i/>
          <w:iCs/>
        </w:rPr>
        <w:t>[five business days from date of this letter: insert calculated date]</w:t>
      </w:r>
      <w:r>
        <w:t>.</w:t>
      </w:r>
    </w:p>
    <w:p w14:paraId="3B4A1AA9" w14:textId="77777777" w:rsidR="00AA53E5" w:rsidRDefault="00AA53E5">
      <w:pPr>
        <w:spacing w:before="55" w:after="55"/>
      </w:pPr>
    </w:p>
    <w:p w14:paraId="24ED945F" w14:textId="77777777" w:rsidR="00AA53E5" w:rsidRDefault="00AA53E5">
      <w:pPr>
        <w:spacing w:before="55" w:after="55"/>
      </w:pPr>
    </w:p>
    <w:p w14:paraId="4961C539" w14:textId="77777777" w:rsidR="00AA53E5" w:rsidRDefault="00000000">
      <w:pPr>
        <w:spacing w:before="110" w:after="110"/>
        <w:jc w:val="both"/>
      </w:pPr>
      <w:r>
        <w:t>Yours sincerely,</w:t>
      </w:r>
    </w:p>
    <w:p w14:paraId="46D7E4D6" w14:textId="77777777" w:rsidR="00AA53E5" w:rsidRDefault="00AA53E5">
      <w:pPr>
        <w:spacing w:before="55" w:after="55"/>
      </w:pPr>
    </w:p>
    <w:p w14:paraId="6372CA5E" w14:textId="77777777" w:rsidR="00AA53E5" w:rsidRDefault="00AA53E5">
      <w:pPr>
        <w:spacing w:before="55" w:after="55"/>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10" w:type="dxa"/>
          <w:bottom w:w="80" w:type="dxa"/>
          <w:right w:w="10" w:type="dxa"/>
        </w:tblCellMar>
        <w:tblLook w:val="0000" w:firstRow="0" w:lastRow="0" w:firstColumn="0" w:lastColumn="0" w:noHBand="0" w:noVBand="0"/>
      </w:tblPr>
      <w:tblGrid>
        <w:gridCol w:w="9026"/>
      </w:tblGrid>
      <w:tr w:rsidR="00AA53E5" w14:paraId="79147779" w14:textId="77777777">
        <w:tc>
          <w:tcPr>
            <w:tcW w:w="9026" w:type="dxa"/>
            <w:tcBorders>
              <w:top w:val="single" w:sz="4" w:space="0" w:color="F59E0B"/>
              <w:left w:val="single" w:sz="14" w:space="0" w:color="F59E0B"/>
              <w:bottom w:val="single" w:sz="4" w:space="0" w:color="F59E0B"/>
              <w:right w:val="single" w:sz="4" w:space="0" w:color="F59E0B"/>
            </w:tcBorders>
            <w:shd w:val="clear" w:color="auto" w:fill="FFF3CD"/>
            <w:tcMar>
              <w:top w:w="120" w:type="dxa"/>
              <w:left w:w="200" w:type="dxa"/>
              <w:bottom w:w="120" w:type="dxa"/>
              <w:right w:w="200" w:type="dxa"/>
            </w:tcMar>
          </w:tcPr>
          <w:p w14:paraId="45CA762E" w14:textId="77777777" w:rsidR="00AA53E5" w:rsidRDefault="00000000">
            <w:pPr>
              <w:spacing w:before="60" w:after="60"/>
            </w:pPr>
            <w:proofErr w:type="gramStart"/>
            <w:r>
              <w:rPr>
                <w:b/>
                <w:bCs/>
                <w:color w:val="7B4F00"/>
              </w:rPr>
              <w:lastRenderedPageBreak/>
              <w:t>✎  COMPLETE</w:t>
            </w:r>
            <w:proofErr w:type="gramEnd"/>
            <w:r>
              <w:rPr>
                <w:b/>
                <w:bCs/>
                <w:color w:val="7B4F00"/>
              </w:rPr>
              <w:t xml:space="preserve"> THIS SECTION</w:t>
            </w:r>
          </w:p>
          <w:p w14:paraId="03248A1F" w14:textId="77777777" w:rsidR="00AA53E5" w:rsidRDefault="00000000">
            <w:pPr>
              <w:spacing w:before="50" w:after="50"/>
            </w:pPr>
            <w:r>
              <w:rPr>
                <w:sz w:val="20"/>
                <w:szCs w:val="20"/>
              </w:rPr>
              <w:t>Your full legal name (bold)</w:t>
            </w:r>
          </w:p>
          <w:p w14:paraId="2BD37EB6" w14:textId="77777777" w:rsidR="00AA53E5" w:rsidRDefault="00000000">
            <w:pPr>
              <w:spacing w:before="50" w:after="50"/>
            </w:pPr>
            <w:r>
              <w:rPr>
                <w:sz w:val="20"/>
                <w:szCs w:val="20"/>
              </w:rPr>
              <w:t>Your address</w:t>
            </w:r>
          </w:p>
          <w:p w14:paraId="6BB0CF7A" w14:textId="77777777" w:rsidR="00AA53E5" w:rsidRDefault="00000000">
            <w:pPr>
              <w:spacing w:before="50" w:after="50"/>
            </w:pPr>
            <w:r>
              <w:rPr>
                <w:sz w:val="20"/>
                <w:szCs w:val="20"/>
              </w:rPr>
              <w:t>ALL RIGHTS RESERVED WITHOUT PREJUDICE</w:t>
            </w:r>
          </w:p>
        </w:tc>
      </w:tr>
    </w:tbl>
    <w:p w14:paraId="21385C6A" w14:textId="77777777" w:rsidR="00AA53E5" w:rsidRDefault="00AA53E5">
      <w:pPr>
        <w:spacing w:before="55" w:after="55"/>
      </w:pPr>
    </w:p>
    <w:p w14:paraId="0A3E00F0" w14:textId="77777777" w:rsidR="00AA53E5" w:rsidRDefault="00000000">
      <w:pPr>
        <w:pStyle w:val="Heading1"/>
      </w:pPr>
      <w:r>
        <w:t>References</w:t>
      </w:r>
    </w:p>
    <w:p w14:paraId="07B6B408" w14:textId="77777777" w:rsidR="00AA53E5" w:rsidRDefault="00000000">
      <w:pPr>
        <w:spacing w:before="55" w:after="35"/>
        <w:ind w:left="540" w:hanging="540"/>
      </w:pPr>
      <w:r>
        <w:rPr>
          <w:i/>
          <w:iCs/>
          <w:sz w:val="19"/>
          <w:szCs w:val="19"/>
        </w:rPr>
        <w:t>Acts Interpretation Act 1901 (</w:t>
      </w:r>
      <w:proofErr w:type="spellStart"/>
      <w:r>
        <w:rPr>
          <w:i/>
          <w:iCs/>
          <w:sz w:val="19"/>
          <w:szCs w:val="19"/>
        </w:rPr>
        <w:t>Cth</w:t>
      </w:r>
      <w:proofErr w:type="spellEnd"/>
      <w:r>
        <w:rPr>
          <w:i/>
          <w:iCs/>
          <w:sz w:val="19"/>
          <w:szCs w:val="19"/>
        </w:rPr>
        <w:t>), section 46: accrued rights under legislative instruments survive amendment or repeal unless contrary intention expressly appears.</w:t>
      </w:r>
    </w:p>
    <w:p w14:paraId="07255D45" w14:textId="77777777" w:rsidR="00AA53E5" w:rsidRDefault="00000000">
      <w:pPr>
        <w:spacing w:before="55" w:after="35"/>
        <w:ind w:left="540" w:hanging="540"/>
      </w:pPr>
      <w:r>
        <w:rPr>
          <w:i/>
          <w:iCs/>
          <w:sz w:val="19"/>
          <w:szCs w:val="19"/>
        </w:rPr>
        <w:t>AEMO, Guideline for Clarification of the National Measurement Act, v1.3. Available at: aemo.com.au</w:t>
      </w:r>
    </w:p>
    <w:p w14:paraId="3F77C2AF" w14:textId="77777777" w:rsidR="00AA53E5" w:rsidRDefault="00000000">
      <w:pPr>
        <w:spacing w:before="55" w:after="35"/>
        <w:ind w:left="540" w:hanging="540"/>
      </w:pPr>
      <w:r>
        <w:rPr>
          <w:i/>
          <w:iCs/>
          <w:sz w:val="19"/>
          <w:szCs w:val="19"/>
        </w:rPr>
        <w:t>Australian Constitution, section 109: Commonwealth law prevails over inconsistent state-derived legislation.</w:t>
      </w:r>
    </w:p>
    <w:p w14:paraId="70748A43" w14:textId="77777777" w:rsidR="00AA53E5" w:rsidRDefault="00000000">
      <w:pPr>
        <w:spacing w:before="55" w:after="35"/>
        <w:ind w:left="540" w:hanging="540"/>
      </w:pPr>
      <w:r>
        <w:rPr>
          <w:i/>
          <w:iCs/>
          <w:sz w:val="19"/>
          <w:szCs w:val="19"/>
        </w:rPr>
        <w:t>Australian Energy Market Commission (AEMC), 2024. Accelerating Smart Meter Deployment: Final Determination, 28 November 2024. Sydney: AEMC.</w:t>
      </w:r>
    </w:p>
    <w:p w14:paraId="41E9329D" w14:textId="77777777" w:rsidR="00AA53E5" w:rsidRDefault="00000000">
      <w:pPr>
        <w:spacing w:before="55" w:after="35"/>
        <w:ind w:left="540" w:hanging="540"/>
      </w:pPr>
      <w:r>
        <w:rPr>
          <w:i/>
          <w:iCs/>
          <w:sz w:val="19"/>
          <w:szCs w:val="19"/>
        </w:rPr>
        <w:t>Australian Energy Regulator (AER), 2025. Guidance to Retailers: Right to refuse Type 4 meters. Available at: https://www.aer.gov.au/consumers/smart-meter-rollout</w:t>
      </w:r>
    </w:p>
    <w:p w14:paraId="2A4777B2" w14:textId="77777777" w:rsidR="00AA53E5" w:rsidRDefault="00000000">
      <w:pPr>
        <w:spacing w:before="55" w:after="35"/>
        <w:ind w:left="540" w:hanging="540"/>
      </w:pPr>
      <w:r>
        <w:rPr>
          <w:i/>
          <w:iCs/>
          <w:sz w:val="19"/>
          <w:szCs w:val="19"/>
        </w:rPr>
        <w:t>AusNet, 2025. Legacy Meter Replacement Plan submission to the AER.</w:t>
      </w:r>
    </w:p>
    <w:p w14:paraId="12C7A628" w14:textId="77777777" w:rsidR="00AA53E5" w:rsidRDefault="00000000">
      <w:pPr>
        <w:spacing w:before="55" w:after="35"/>
        <w:ind w:left="540" w:hanging="540"/>
      </w:pPr>
      <w:r>
        <w:rPr>
          <w:i/>
          <w:iCs/>
          <w:sz w:val="19"/>
          <w:szCs w:val="19"/>
        </w:rPr>
        <w:t>Australian Senate, 2003. Tribute to Dr Neil Cherry by Senator Lyn Allison. Commonwealth Parliamentary Debates (Hansard).</w:t>
      </w:r>
    </w:p>
    <w:p w14:paraId="103E12BE" w14:textId="77777777" w:rsidR="00AA53E5" w:rsidRDefault="00000000">
      <w:pPr>
        <w:spacing w:before="55" w:after="35"/>
        <w:ind w:left="540" w:hanging="540"/>
      </w:pPr>
      <w:proofErr w:type="spellStart"/>
      <w:r>
        <w:rPr>
          <w:i/>
          <w:iCs/>
          <w:sz w:val="19"/>
          <w:szCs w:val="19"/>
        </w:rPr>
        <w:t>BioInitiative</w:t>
      </w:r>
      <w:proofErr w:type="spellEnd"/>
      <w:r>
        <w:rPr>
          <w:i/>
          <w:iCs/>
          <w:sz w:val="19"/>
          <w:szCs w:val="19"/>
        </w:rPr>
        <w:t xml:space="preserve"> Working Group, 2012. </w:t>
      </w:r>
      <w:proofErr w:type="spellStart"/>
      <w:r>
        <w:rPr>
          <w:i/>
          <w:iCs/>
          <w:sz w:val="19"/>
          <w:szCs w:val="19"/>
        </w:rPr>
        <w:t>BioInitiative</w:t>
      </w:r>
      <w:proofErr w:type="spellEnd"/>
      <w:r>
        <w:rPr>
          <w:i/>
          <w:iCs/>
          <w:sz w:val="19"/>
          <w:szCs w:val="19"/>
        </w:rPr>
        <w:t xml:space="preserve"> Report. Available at: https://bioinitiative.org/</w:t>
      </w:r>
    </w:p>
    <w:p w14:paraId="3861BE11" w14:textId="77777777" w:rsidR="00AA53E5" w:rsidRDefault="00000000">
      <w:pPr>
        <w:spacing w:before="55" w:after="35"/>
        <w:ind w:left="540" w:hanging="540"/>
      </w:pPr>
      <w:r>
        <w:rPr>
          <w:i/>
          <w:iCs/>
          <w:sz w:val="19"/>
          <w:szCs w:val="19"/>
        </w:rPr>
        <w:t xml:space="preserve">Broomhall, R.J., 2019. Man Made </w:t>
      </w:r>
      <w:proofErr w:type="gramStart"/>
      <w:r>
        <w:rPr>
          <w:i/>
          <w:iCs/>
          <w:sz w:val="19"/>
          <w:szCs w:val="19"/>
        </w:rPr>
        <w:t>Non Ionizing</w:t>
      </w:r>
      <w:proofErr w:type="gramEnd"/>
      <w:r>
        <w:rPr>
          <w:i/>
          <w:iCs/>
          <w:sz w:val="19"/>
          <w:szCs w:val="19"/>
        </w:rPr>
        <w:t xml:space="preserve"> Electromagnetic Radiation: Steps to Prepare Evidence for Litigation and Potential Remedies. 5G Crisis Awareness and Accountability Summit. emrlegaleducation.com/5gsummit</w:t>
      </w:r>
    </w:p>
    <w:p w14:paraId="18C5711D" w14:textId="77777777" w:rsidR="00AA53E5" w:rsidRDefault="00000000">
      <w:pPr>
        <w:spacing w:before="55" w:after="35"/>
        <w:ind w:left="540" w:hanging="540"/>
      </w:pPr>
      <w:r>
        <w:rPr>
          <w:i/>
          <w:iCs/>
          <w:sz w:val="19"/>
          <w:szCs w:val="19"/>
        </w:rPr>
        <w:t>CFC Underwriting (Lloyd's of London). Standard Exclusion 32: Electromagnetic Fields.</w:t>
      </w:r>
    </w:p>
    <w:p w14:paraId="69911E54" w14:textId="77777777" w:rsidR="00AA53E5" w:rsidRDefault="00000000">
      <w:pPr>
        <w:spacing w:before="55" w:after="35"/>
        <w:ind w:left="540" w:hanging="540"/>
      </w:pPr>
      <w:r>
        <w:rPr>
          <w:i/>
          <w:iCs/>
          <w:sz w:val="19"/>
          <w:szCs w:val="19"/>
        </w:rPr>
        <w:t>Cherry, N.J., 2000. Evidence of Health Effects of Electromagnetic Radiation. Submission to the Australian Senate Inquiry into Electromagnetic Radiation, 8 September 2000. Lincoln University, Canterbury, New Zealand.</w:t>
      </w:r>
    </w:p>
    <w:p w14:paraId="7F457093" w14:textId="77777777" w:rsidR="00AA53E5" w:rsidRDefault="00000000">
      <w:pPr>
        <w:spacing w:before="55" w:after="35"/>
        <w:ind w:left="540" w:hanging="540"/>
      </w:pPr>
      <w:r>
        <w:rPr>
          <w:i/>
          <w:iCs/>
          <w:sz w:val="19"/>
          <w:szCs w:val="19"/>
        </w:rPr>
        <w:t>CitiPower, Powercor and United Energy, 2025. Legacy Meter Replacement Plan submission to the AER.</w:t>
      </w:r>
    </w:p>
    <w:p w14:paraId="25FCC578" w14:textId="77777777" w:rsidR="00AA53E5" w:rsidRDefault="00000000">
      <w:pPr>
        <w:spacing w:before="55" w:after="35"/>
        <w:ind w:left="540" w:hanging="540"/>
      </w:pPr>
      <w:r>
        <w:rPr>
          <w:i/>
          <w:iCs/>
          <w:sz w:val="19"/>
          <w:szCs w:val="19"/>
        </w:rPr>
        <w:t>Energy Consumers Australia, 2024. Submission to AEMC Directions Paper on Accelerating Smart Meter Deployment, October 2024.</w:t>
      </w:r>
    </w:p>
    <w:p w14:paraId="6D304F0D" w14:textId="77777777" w:rsidR="00AA53E5" w:rsidRDefault="00000000">
      <w:pPr>
        <w:spacing w:before="55" w:after="35"/>
        <w:ind w:left="540" w:hanging="540"/>
      </w:pPr>
      <w:r>
        <w:rPr>
          <w:i/>
          <w:iCs/>
          <w:sz w:val="19"/>
          <w:szCs w:val="19"/>
        </w:rPr>
        <w:t>Environmental Health Trust et al. v. FCC, US Court of Appeals for the DC Circuit, 2021. No. 20-1025.</w:t>
      </w:r>
    </w:p>
    <w:p w14:paraId="7155AA58" w14:textId="77777777" w:rsidR="00AA53E5" w:rsidRDefault="00000000">
      <w:pPr>
        <w:spacing w:before="55" w:after="35"/>
        <w:ind w:left="540" w:hanging="540"/>
      </w:pPr>
      <w:r>
        <w:rPr>
          <w:i/>
          <w:iCs/>
          <w:sz w:val="19"/>
          <w:szCs w:val="19"/>
        </w:rPr>
        <w:t>Gee, D., 2012. Late lessons from early warnings: science, precaution, innovation. European Environment Agency. Copenhagen: EEA.</w:t>
      </w:r>
    </w:p>
    <w:p w14:paraId="7E74DF49" w14:textId="77777777" w:rsidR="00AA53E5" w:rsidRDefault="00000000">
      <w:pPr>
        <w:spacing w:before="55" w:after="35"/>
        <w:ind w:left="540" w:hanging="540"/>
      </w:pPr>
      <w:r>
        <w:rPr>
          <w:i/>
          <w:iCs/>
          <w:sz w:val="19"/>
          <w:szCs w:val="19"/>
        </w:rPr>
        <w:t>International Agency for Research on Cancer (IARC), 2011. IARC Monographs, Volume 102: Radiofrequency Electromagnetic Fields. Lyon: WHO/IARC.</w:t>
      </w:r>
    </w:p>
    <w:p w14:paraId="64A6F452" w14:textId="77777777" w:rsidR="00AA53E5" w:rsidRDefault="00000000">
      <w:pPr>
        <w:spacing w:before="55" w:after="35"/>
        <w:ind w:left="540" w:hanging="540"/>
      </w:pPr>
      <w:r>
        <w:rPr>
          <w:i/>
          <w:iCs/>
          <w:sz w:val="19"/>
          <w:szCs w:val="19"/>
        </w:rPr>
        <w:t>Jemena Electricity Networks, 2025. Legacy Meter Replacement Plan submission to the AER.</w:t>
      </w:r>
    </w:p>
    <w:p w14:paraId="73F7D0EB" w14:textId="77777777" w:rsidR="00AA53E5" w:rsidRDefault="00000000">
      <w:pPr>
        <w:spacing w:before="55" w:after="35"/>
        <w:ind w:left="540" w:hanging="540"/>
      </w:pPr>
      <w:r>
        <w:rPr>
          <w:i/>
          <w:iCs/>
          <w:sz w:val="19"/>
          <w:szCs w:val="19"/>
        </w:rPr>
        <w:t>Leszczynski, D., 2018. Report from the AOCRP-5, Melbourne, May 2018. Available at: betweenrockandhardplace.wordpress.com</w:t>
      </w:r>
    </w:p>
    <w:p w14:paraId="0516AD21" w14:textId="77777777" w:rsidR="00AA53E5" w:rsidRDefault="00000000">
      <w:pPr>
        <w:spacing w:before="55" w:after="35"/>
        <w:ind w:left="540" w:hanging="540"/>
      </w:pPr>
      <w:r>
        <w:rPr>
          <w:i/>
          <w:iCs/>
          <w:sz w:val="19"/>
          <w:szCs w:val="19"/>
        </w:rPr>
        <w:t xml:space="preserve">Lyon Court of Appeal, November 2023; Lyon Administrative Court, February 2025. Cascina v. </w:t>
      </w:r>
      <w:proofErr w:type="spellStart"/>
      <w:r>
        <w:rPr>
          <w:i/>
          <w:iCs/>
          <w:sz w:val="19"/>
          <w:szCs w:val="19"/>
        </w:rPr>
        <w:t>Enedis</w:t>
      </w:r>
      <w:proofErr w:type="spellEnd"/>
      <w:r>
        <w:rPr>
          <w:i/>
          <w:iCs/>
          <w:sz w:val="19"/>
          <w:szCs w:val="19"/>
        </w:rPr>
        <w:t>.</w:t>
      </w:r>
    </w:p>
    <w:p w14:paraId="51FC71E0" w14:textId="77777777" w:rsidR="00AA53E5" w:rsidRDefault="00000000">
      <w:pPr>
        <w:spacing w:before="55" w:after="35"/>
        <w:ind w:left="540" w:hanging="540"/>
      </w:pPr>
      <w:r>
        <w:rPr>
          <w:i/>
          <w:iCs/>
          <w:sz w:val="19"/>
          <w:szCs w:val="19"/>
        </w:rPr>
        <w:t>Maisch, D., 2010. The Procrustean Approach. PhD thesis, University of Wollongong. Available at: https://ro.uow.edu.au/theses/3148/</w:t>
      </w:r>
    </w:p>
    <w:p w14:paraId="5CA982A1" w14:textId="77777777" w:rsidR="00AA53E5" w:rsidRDefault="00000000">
      <w:pPr>
        <w:spacing w:before="55" w:after="35"/>
        <w:ind w:left="540" w:hanging="540"/>
      </w:pPr>
      <w:r>
        <w:rPr>
          <w:i/>
          <w:iCs/>
          <w:sz w:val="19"/>
          <w:szCs w:val="19"/>
        </w:rPr>
        <w:t xml:space="preserve">Maisch, D., 2019. Community Concerns over 5G: Needless Anxiety or Wise Precaution? </w:t>
      </w:r>
      <w:proofErr w:type="spellStart"/>
      <w:r>
        <w:rPr>
          <w:i/>
          <w:iCs/>
          <w:sz w:val="19"/>
          <w:szCs w:val="19"/>
        </w:rPr>
        <w:t>EMFacts</w:t>
      </w:r>
      <w:proofErr w:type="spellEnd"/>
      <w:r>
        <w:rPr>
          <w:i/>
          <w:iCs/>
          <w:sz w:val="19"/>
          <w:szCs w:val="19"/>
        </w:rPr>
        <w:t xml:space="preserve"> Consultancy. Updated July 2019.</w:t>
      </w:r>
    </w:p>
    <w:p w14:paraId="6E0535AC" w14:textId="77777777" w:rsidR="00AA53E5" w:rsidRDefault="00000000">
      <w:pPr>
        <w:spacing w:before="55" w:after="35"/>
        <w:ind w:left="540" w:hanging="540"/>
      </w:pPr>
      <w:r>
        <w:rPr>
          <w:i/>
          <w:iCs/>
          <w:sz w:val="19"/>
          <w:szCs w:val="19"/>
        </w:rPr>
        <w:t>Maisch, D., Podd, J. and Rapley, B., 2002. Changes in Health Status in a Group of CFS and CF Patients Following Removal of Excessive 50 Hz Magnetic Field Exposure. Journal of the Australasian College of Nutritional and Environmental Medicine, 21(1).</w:t>
      </w:r>
    </w:p>
    <w:p w14:paraId="58E909DC" w14:textId="77777777" w:rsidR="00AA53E5" w:rsidRDefault="00000000">
      <w:pPr>
        <w:spacing w:before="55" w:after="35"/>
        <w:ind w:left="540" w:hanging="540"/>
      </w:pPr>
      <w:r>
        <w:rPr>
          <w:i/>
          <w:iCs/>
          <w:sz w:val="19"/>
          <w:szCs w:val="19"/>
        </w:rPr>
        <w:t>McDonald, D., 2013. Statistical analysis of the proposed ACEBR provocation study. CSIRO. [Cited in Maisch 2019.]</w:t>
      </w:r>
    </w:p>
    <w:p w14:paraId="7F2C18DB" w14:textId="77777777" w:rsidR="00AA53E5" w:rsidRDefault="00000000">
      <w:pPr>
        <w:spacing w:before="55" w:after="35"/>
        <w:ind w:left="540" w:hanging="540"/>
      </w:pPr>
      <w:r>
        <w:rPr>
          <w:i/>
          <w:iCs/>
          <w:sz w:val="19"/>
          <w:szCs w:val="19"/>
        </w:rPr>
        <w:t>Metropolitan Fire Brigade Victoria, 2012. Smart Meter Fire Review.</w:t>
      </w:r>
    </w:p>
    <w:p w14:paraId="59C284E4" w14:textId="77777777" w:rsidR="00AA53E5" w:rsidRDefault="00000000">
      <w:pPr>
        <w:spacing w:before="55" w:after="35"/>
        <w:ind w:left="540" w:hanging="540"/>
      </w:pPr>
      <w:r>
        <w:rPr>
          <w:i/>
          <w:iCs/>
          <w:sz w:val="19"/>
          <w:szCs w:val="19"/>
        </w:rPr>
        <w:t>Mevissen, M., Straif, K. et al., 2025. Cancer in laboratory animals exposed to radiofrequency electromagnetic fields: a systematic review. Environment International, 181, p.108134.</w:t>
      </w:r>
    </w:p>
    <w:p w14:paraId="1670F812" w14:textId="77777777" w:rsidR="00AA53E5" w:rsidRDefault="00000000">
      <w:pPr>
        <w:spacing w:before="55" w:after="35"/>
        <w:ind w:left="540" w:hanging="540"/>
      </w:pPr>
      <w:r>
        <w:rPr>
          <w:i/>
          <w:iCs/>
          <w:sz w:val="19"/>
          <w:szCs w:val="19"/>
        </w:rPr>
        <w:lastRenderedPageBreak/>
        <w:t>Murrill, B.J., Liu, E.C. and Thompson, R.M., 2012. Smart Meter Data: Privacy and Cybersecurity. Congressional Research Service Report R42338, 3 February 2012.</w:t>
      </w:r>
    </w:p>
    <w:p w14:paraId="06E98AD5" w14:textId="77777777" w:rsidR="00AA53E5" w:rsidRDefault="00000000">
      <w:pPr>
        <w:spacing w:before="55" w:after="35"/>
        <w:ind w:left="540" w:hanging="540"/>
      </w:pPr>
      <w:r>
        <w:rPr>
          <w:i/>
          <w:iCs/>
          <w:sz w:val="19"/>
          <w:szCs w:val="19"/>
        </w:rPr>
        <w:t>National Measurement Act 1960 (</w:t>
      </w:r>
      <w:proofErr w:type="spellStart"/>
      <w:r>
        <w:rPr>
          <w:i/>
          <w:iCs/>
          <w:sz w:val="19"/>
          <w:szCs w:val="19"/>
        </w:rPr>
        <w:t>Cth</w:t>
      </w:r>
      <w:proofErr w:type="spellEnd"/>
      <w:r>
        <w:rPr>
          <w:i/>
          <w:iCs/>
          <w:sz w:val="19"/>
          <w:szCs w:val="19"/>
        </w:rPr>
        <w:t>), section 4A: pattern approval and verification requirements for measuring instruments used for trade.</w:t>
      </w:r>
    </w:p>
    <w:p w14:paraId="487FBB03" w14:textId="77777777" w:rsidR="00AA53E5" w:rsidRDefault="00000000">
      <w:pPr>
        <w:spacing w:before="55" w:after="35"/>
        <w:ind w:left="540" w:hanging="540"/>
      </w:pPr>
      <w:r>
        <w:rPr>
          <w:i/>
          <w:iCs/>
          <w:sz w:val="19"/>
          <w:szCs w:val="19"/>
        </w:rPr>
        <w:t>National Trade Measurement Regulations 2009 (</w:t>
      </w:r>
      <w:proofErr w:type="spellStart"/>
      <w:r>
        <w:rPr>
          <w:i/>
          <w:iCs/>
          <w:sz w:val="19"/>
          <w:szCs w:val="19"/>
        </w:rPr>
        <w:t>Cth</w:t>
      </w:r>
      <w:proofErr w:type="spellEnd"/>
      <w:r>
        <w:rPr>
          <w:i/>
          <w:iCs/>
          <w:sz w:val="19"/>
          <w:szCs w:val="19"/>
        </w:rPr>
        <w:t>), Regulation 5.6: Exempt utility meters. [Adapt to your state's applicable provisions if outside Queensland; see Section 8 box.]</w:t>
      </w:r>
    </w:p>
    <w:p w14:paraId="67362D51" w14:textId="77777777" w:rsidR="00AA53E5" w:rsidRDefault="00000000">
      <w:pPr>
        <w:spacing w:before="55" w:after="35"/>
        <w:ind w:left="540" w:hanging="540"/>
      </w:pPr>
      <w:r>
        <w:rPr>
          <w:i/>
          <w:iCs/>
          <w:sz w:val="19"/>
          <w:szCs w:val="19"/>
        </w:rPr>
        <w:t>Neufeld, E. and Kuster, N., 2018. Systematic Derivation of Safety Limits for Time-Varying 5G Radiofrequency Exposure Based on Analytical Models and Thermal Dose. Health Physics, 115(6).</w:t>
      </w:r>
    </w:p>
    <w:p w14:paraId="2475645A" w14:textId="77777777" w:rsidR="00AA53E5" w:rsidRDefault="00000000">
      <w:pPr>
        <w:spacing w:before="55" w:after="35"/>
        <w:ind w:left="540" w:hanging="540"/>
      </w:pPr>
      <w:r>
        <w:rPr>
          <w:i/>
          <w:iCs/>
          <w:sz w:val="19"/>
          <w:szCs w:val="19"/>
        </w:rPr>
        <w:t>Queensland Criminal Code 1899 (Qld), sections 75, 230, 245, 289, 328, 339, 340. [Adapt to your state's applicable Criminal Code provisions: see Section 8 box.]</w:t>
      </w:r>
    </w:p>
    <w:p w14:paraId="4697A810" w14:textId="77777777" w:rsidR="00AA53E5" w:rsidRDefault="00000000">
      <w:pPr>
        <w:spacing w:before="55" w:after="35"/>
        <w:ind w:left="540" w:hanging="540"/>
      </w:pPr>
      <w:r>
        <w:rPr>
          <w:i/>
          <w:iCs/>
          <w:sz w:val="19"/>
          <w:szCs w:val="19"/>
        </w:rPr>
        <w:t>Queensland Electricity Regulation 2006, sections 44 and 46. [Adapt to your state's equivalent provision: see Section 7 box.]</w:t>
      </w:r>
    </w:p>
    <w:p w14:paraId="43173FB6" w14:textId="77777777" w:rsidR="00AA53E5" w:rsidRDefault="00000000">
      <w:pPr>
        <w:spacing w:before="55" w:after="35"/>
        <w:ind w:left="540" w:hanging="540"/>
      </w:pPr>
      <w:r>
        <w:rPr>
          <w:i/>
          <w:iCs/>
          <w:sz w:val="19"/>
          <w:szCs w:val="19"/>
        </w:rPr>
        <w:t>Swiss Re Institute, 2019. SONAR: New Emerging Risk Insights. Zurich: Swiss Re.</w:t>
      </w:r>
    </w:p>
    <w:p w14:paraId="6DF3F10C" w14:textId="77777777" w:rsidR="00AA53E5" w:rsidRDefault="00000000">
      <w:pPr>
        <w:spacing w:before="55" w:after="35"/>
        <w:ind w:left="540" w:hanging="540"/>
      </w:pPr>
      <w:r>
        <w:rPr>
          <w:i/>
          <w:iCs/>
          <w:sz w:val="19"/>
          <w:szCs w:val="19"/>
        </w:rPr>
        <w:t>Swisscom AG, 2003. International Patent Application PCT/EP2003/000656.</w:t>
      </w:r>
    </w:p>
    <w:p w14:paraId="42734196" w14:textId="77777777" w:rsidR="00AA53E5" w:rsidRDefault="00000000">
      <w:pPr>
        <w:spacing w:before="55" w:after="35"/>
        <w:ind w:left="540" w:hanging="540"/>
      </w:pPr>
      <w:r>
        <w:rPr>
          <w:i/>
          <w:iCs/>
          <w:sz w:val="19"/>
          <w:szCs w:val="19"/>
        </w:rPr>
        <w:t>US Senate Commerce, Science, and Transportation Committee, 2019. Hearing on 5G Deployment, 6 February 2019. Statement of Senator Richard Blumenthal.</w:t>
      </w:r>
    </w:p>
    <w:sectPr w:rsidR="00AA53E5">
      <w:footerReference w:type="default" r:id="rId7"/>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85F06F" w14:textId="77777777" w:rsidR="00BA55DB" w:rsidRDefault="00BA55DB" w:rsidP="003C7C03">
      <w:r>
        <w:separator/>
      </w:r>
    </w:p>
  </w:endnote>
  <w:endnote w:type="continuationSeparator" w:id="0">
    <w:p w14:paraId="72AABA09" w14:textId="77777777" w:rsidR="00BA55DB" w:rsidRDefault="00BA55DB" w:rsidP="003C7C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0661612"/>
      <w:docPartObj>
        <w:docPartGallery w:val="Page Numbers (Bottom of Page)"/>
        <w:docPartUnique/>
      </w:docPartObj>
    </w:sdtPr>
    <w:sdtEndPr>
      <w:rPr>
        <w:noProof/>
      </w:rPr>
    </w:sdtEndPr>
    <w:sdtContent>
      <w:p w14:paraId="37B68620" w14:textId="67F2D34D" w:rsidR="003C7C03" w:rsidRDefault="003C7C0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11D0D07" w14:textId="77777777" w:rsidR="003C7C03" w:rsidRDefault="003C7C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AEFCD3" w14:textId="77777777" w:rsidR="00BA55DB" w:rsidRDefault="00BA55DB" w:rsidP="003C7C03">
      <w:r>
        <w:separator/>
      </w:r>
    </w:p>
  </w:footnote>
  <w:footnote w:type="continuationSeparator" w:id="0">
    <w:p w14:paraId="10DF12F2" w14:textId="77777777" w:rsidR="00BA55DB" w:rsidRDefault="00BA55DB" w:rsidP="003C7C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342DE"/>
    <w:multiLevelType w:val="hybridMultilevel"/>
    <w:tmpl w:val="282C8EEC"/>
    <w:lvl w:ilvl="0" w:tplc="80B2A92E">
      <w:start w:val="1"/>
      <w:numFmt w:val="bullet"/>
      <w:lvlText w:val="●"/>
      <w:lvlJc w:val="left"/>
      <w:pPr>
        <w:ind w:left="720" w:hanging="360"/>
      </w:pPr>
    </w:lvl>
    <w:lvl w:ilvl="1" w:tplc="EC32DBF6">
      <w:start w:val="1"/>
      <w:numFmt w:val="bullet"/>
      <w:lvlText w:val="○"/>
      <w:lvlJc w:val="left"/>
      <w:pPr>
        <w:ind w:left="1440" w:hanging="360"/>
      </w:pPr>
    </w:lvl>
    <w:lvl w:ilvl="2" w:tplc="FF12DCE6">
      <w:start w:val="1"/>
      <w:numFmt w:val="bullet"/>
      <w:lvlText w:val="■"/>
      <w:lvlJc w:val="left"/>
      <w:pPr>
        <w:ind w:left="2160" w:hanging="360"/>
      </w:pPr>
    </w:lvl>
    <w:lvl w:ilvl="3" w:tplc="EB2CAFA8">
      <w:start w:val="1"/>
      <w:numFmt w:val="bullet"/>
      <w:lvlText w:val="●"/>
      <w:lvlJc w:val="left"/>
      <w:pPr>
        <w:ind w:left="2880" w:hanging="360"/>
      </w:pPr>
    </w:lvl>
    <w:lvl w:ilvl="4" w:tplc="4DA415E8">
      <w:start w:val="1"/>
      <w:numFmt w:val="bullet"/>
      <w:lvlText w:val="○"/>
      <w:lvlJc w:val="left"/>
      <w:pPr>
        <w:ind w:left="3600" w:hanging="360"/>
      </w:pPr>
    </w:lvl>
    <w:lvl w:ilvl="5" w:tplc="B78AB1CC">
      <w:start w:val="1"/>
      <w:numFmt w:val="bullet"/>
      <w:lvlText w:val="■"/>
      <w:lvlJc w:val="left"/>
      <w:pPr>
        <w:ind w:left="4320" w:hanging="360"/>
      </w:pPr>
    </w:lvl>
    <w:lvl w:ilvl="6" w:tplc="89B2D1E0">
      <w:start w:val="1"/>
      <w:numFmt w:val="bullet"/>
      <w:lvlText w:val="●"/>
      <w:lvlJc w:val="left"/>
      <w:pPr>
        <w:ind w:left="5040" w:hanging="360"/>
      </w:pPr>
    </w:lvl>
    <w:lvl w:ilvl="7" w:tplc="06FAEF6A">
      <w:start w:val="1"/>
      <w:numFmt w:val="bullet"/>
      <w:lvlText w:val="●"/>
      <w:lvlJc w:val="left"/>
      <w:pPr>
        <w:ind w:left="5760" w:hanging="360"/>
      </w:pPr>
    </w:lvl>
    <w:lvl w:ilvl="8" w:tplc="5656BB2A">
      <w:start w:val="1"/>
      <w:numFmt w:val="bullet"/>
      <w:lvlText w:val="●"/>
      <w:lvlJc w:val="left"/>
      <w:pPr>
        <w:ind w:left="6480" w:hanging="360"/>
      </w:pPr>
    </w:lvl>
  </w:abstractNum>
  <w:abstractNum w:abstractNumId="1" w15:restartNumberingAfterBreak="0">
    <w:nsid w:val="0B700A93"/>
    <w:multiLevelType w:val="hybridMultilevel"/>
    <w:tmpl w:val="C6FAE8E2"/>
    <w:lvl w:ilvl="0" w:tplc="A52C333C">
      <w:start w:val="1"/>
      <w:numFmt w:val="bullet"/>
      <w:lvlText w:val="•"/>
      <w:lvlJc w:val="left"/>
      <w:pPr>
        <w:ind w:left="720" w:hanging="360"/>
      </w:pPr>
    </w:lvl>
    <w:lvl w:ilvl="1" w:tplc="0DA83930">
      <w:numFmt w:val="decimal"/>
      <w:lvlText w:val=""/>
      <w:lvlJc w:val="left"/>
    </w:lvl>
    <w:lvl w:ilvl="2" w:tplc="72242884">
      <w:numFmt w:val="decimal"/>
      <w:lvlText w:val=""/>
      <w:lvlJc w:val="left"/>
    </w:lvl>
    <w:lvl w:ilvl="3" w:tplc="A9829404">
      <w:numFmt w:val="decimal"/>
      <w:lvlText w:val=""/>
      <w:lvlJc w:val="left"/>
    </w:lvl>
    <w:lvl w:ilvl="4" w:tplc="FAA0870E">
      <w:numFmt w:val="decimal"/>
      <w:lvlText w:val=""/>
      <w:lvlJc w:val="left"/>
    </w:lvl>
    <w:lvl w:ilvl="5" w:tplc="C8ECC210">
      <w:numFmt w:val="decimal"/>
      <w:lvlText w:val=""/>
      <w:lvlJc w:val="left"/>
    </w:lvl>
    <w:lvl w:ilvl="6" w:tplc="5606A4B4">
      <w:numFmt w:val="decimal"/>
      <w:lvlText w:val=""/>
      <w:lvlJc w:val="left"/>
    </w:lvl>
    <w:lvl w:ilvl="7" w:tplc="F6F83126">
      <w:numFmt w:val="decimal"/>
      <w:lvlText w:val=""/>
      <w:lvlJc w:val="left"/>
    </w:lvl>
    <w:lvl w:ilvl="8" w:tplc="D6F2925A">
      <w:numFmt w:val="decimal"/>
      <w:lvlText w:val=""/>
      <w:lvlJc w:val="left"/>
    </w:lvl>
  </w:abstractNum>
  <w:num w:numId="1" w16cid:durableId="1706369971">
    <w:abstractNumId w:val="0"/>
    <w:lvlOverride w:ilvl="0">
      <w:startOverride w:val="1"/>
    </w:lvlOverride>
  </w:num>
  <w:num w:numId="2" w16cid:durableId="1188180554">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53E5"/>
    <w:rsid w:val="003C7C03"/>
    <w:rsid w:val="006D3D7E"/>
    <w:rsid w:val="00AA53E5"/>
    <w:rsid w:val="00B3641C"/>
    <w:rsid w:val="00B373CD"/>
    <w:rsid w:val="00BA55D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C87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40" w:after="160"/>
      <w:outlineLvl w:val="0"/>
    </w:pPr>
    <w:rPr>
      <w:b/>
      <w:bCs/>
      <w:color w:val="1A1A1A"/>
      <w:sz w:val="26"/>
      <w:szCs w:val="26"/>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3C7C03"/>
    <w:pPr>
      <w:tabs>
        <w:tab w:val="center" w:pos="4513"/>
        <w:tab w:val="right" w:pos="9026"/>
      </w:tabs>
    </w:pPr>
  </w:style>
  <w:style w:type="character" w:customStyle="1" w:styleId="HeaderChar">
    <w:name w:val="Header Char"/>
    <w:basedOn w:val="DefaultParagraphFont"/>
    <w:link w:val="Header"/>
    <w:uiPriority w:val="99"/>
    <w:rsid w:val="003C7C03"/>
  </w:style>
  <w:style w:type="paragraph" w:styleId="Footer">
    <w:name w:val="footer"/>
    <w:basedOn w:val="Normal"/>
    <w:link w:val="FooterChar"/>
    <w:uiPriority w:val="99"/>
    <w:unhideWhenUsed/>
    <w:rsid w:val="003C7C03"/>
    <w:pPr>
      <w:tabs>
        <w:tab w:val="center" w:pos="4513"/>
        <w:tab w:val="right" w:pos="9026"/>
      </w:tabs>
    </w:pPr>
  </w:style>
  <w:style w:type="character" w:customStyle="1" w:styleId="FooterChar">
    <w:name w:val="Footer Char"/>
    <w:basedOn w:val="DefaultParagraphFont"/>
    <w:link w:val="Footer"/>
    <w:uiPriority w:val="99"/>
    <w:rsid w:val="003C7C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7653</Words>
  <Characters>43627</Characters>
  <Application>Microsoft Office Word</Application>
  <DocSecurity>0</DocSecurity>
  <Lines>363</Lines>
  <Paragraphs>102</Paragraphs>
  <ScaleCrop>false</ScaleCrop>
  <Company/>
  <LinksUpToDate>false</LinksUpToDate>
  <CharactersWithSpaces>51178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2026-07-18T07:13:00Z</dcterms:created>
  <dcterms:modified xsi:type="dcterms:W3CDTF">2026-07-18T07:14:00Z</dcterms:modified>
</cp:coreProperties>
</file>