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047D3" w14:textId="77777777" w:rsidR="00CE0D36" w:rsidRDefault="00000000">
      <w:pPr>
        <w:spacing w:after="80"/>
        <w:jc w:val="center"/>
      </w:pPr>
      <w:r>
        <w:rPr>
          <w:b/>
          <w:bCs/>
          <w:color w:val="1A3A5C"/>
          <w:sz w:val="30"/>
          <w:szCs w:val="30"/>
        </w:rPr>
        <w:t>CONDITIONAL ACCEPTANCE NOTICE</w:t>
      </w:r>
    </w:p>
    <w:p w14:paraId="5AA025F8" w14:textId="77777777" w:rsidR="00CE0D36" w:rsidRDefault="00000000">
      <w:pPr>
        <w:spacing w:after="60"/>
        <w:jc w:val="center"/>
      </w:pPr>
      <w:r>
        <w:rPr>
          <w:i/>
          <w:iCs/>
          <w:color w:val="444444"/>
          <w:sz w:val="21"/>
          <w:szCs w:val="21"/>
        </w:rPr>
        <w:t>Smart Meter Mandate: Retail Electricity Contract Variation</w:t>
      </w:r>
    </w:p>
    <w:p w14:paraId="4CDD7D66" w14:textId="77777777" w:rsidR="00CE0D36" w:rsidRDefault="00000000">
      <w:pPr>
        <w:spacing w:after="60"/>
        <w:jc w:val="center"/>
      </w:pPr>
      <w:r>
        <w:rPr>
          <w:i/>
          <w:iCs/>
          <w:color w:val="666666"/>
          <w:sz w:val="20"/>
          <w:szCs w:val="20"/>
        </w:rPr>
        <w:t>A formal legal instrument in contract and Commonwealth statutory law</w:t>
      </w:r>
    </w:p>
    <w:p w14:paraId="682097E1" w14:textId="77777777" w:rsidR="00CE0D36" w:rsidRDefault="00000000">
      <w:pPr>
        <w:spacing w:after="180"/>
        <w:jc w:val="center"/>
      </w:pPr>
      <w:r>
        <w:rPr>
          <w:color w:val="9EB3D8"/>
          <w:sz w:val="20"/>
          <w:szCs w:val="20"/>
        </w:rPr>
        <w:t>――――――――――――――――――――</w:t>
      </w:r>
    </w:p>
    <w:tbl>
      <w:tblPr>
        <w:tblW w:w="9026" w:type="dxa"/>
        <w:tblInd w:w="1" w:type="dxa"/>
        <w:tblLayout w:type="fixed"/>
        <w:tblCellMar>
          <w:top w:w="120" w:type="dxa"/>
          <w:left w:w="200" w:type="dxa"/>
          <w:bottom w:w="120" w:type="dxa"/>
          <w:right w:w="200" w:type="dxa"/>
        </w:tblCellMar>
        <w:tblLook w:val="0000" w:firstRow="0" w:lastRow="0" w:firstColumn="0" w:lastColumn="0" w:noHBand="0" w:noVBand="0"/>
      </w:tblPr>
      <w:tblGrid>
        <w:gridCol w:w="9026"/>
      </w:tblGrid>
      <w:tr w:rsidR="00CE0D36" w14:paraId="11A643DF"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Pr>
          <w:p w14:paraId="456F8D2C" w14:textId="77777777" w:rsidR="00CE0D36" w:rsidRDefault="00000000">
            <w:pPr>
              <w:spacing w:before="60" w:after="60"/>
            </w:pPr>
            <w:r>
              <w:rPr>
                <w:b/>
                <w:bCs/>
                <w:color w:val="1D4E8F"/>
              </w:rPr>
              <w:t>ℹ️  HOW TO USE THIS TEMPLATE</w:t>
            </w:r>
          </w:p>
          <w:p w14:paraId="6387A32E" w14:textId="77777777" w:rsidR="00CE0D36" w:rsidRDefault="00000000">
            <w:pPr>
              <w:spacing w:before="50" w:after="50"/>
            </w:pPr>
            <w:r>
              <w:rPr>
                <w:sz w:val="20"/>
                <w:szCs w:val="20"/>
              </w:rPr>
              <w:t>This Conditional Acceptance Notice (CAN) operates on a distinct legal track from the Formal Objection and Default Notice template. That document challenges the regulatory mandate on twelve grounds. This instrument addresses a separate question: whether the AEMC's metering rule, as transmitted through your retailer's installation notice, constitutes a valid and binding variation to your existing retail electricity contract, and on what terms you are prepared to accept it.</w:t>
            </w:r>
          </w:p>
          <w:p w14:paraId="658BFF83" w14:textId="77777777" w:rsidR="00CE0D36" w:rsidRDefault="00CE0D36">
            <w:pPr>
              <w:spacing w:before="50" w:after="50"/>
            </w:pPr>
          </w:p>
          <w:p w14:paraId="46D642B2" w14:textId="77777777" w:rsidR="00CE0D36" w:rsidRDefault="00000000">
            <w:pPr>
              <w:spacing w:before="50" w:after="50"/>
            </w:pPr>
            <w:r>
              <w:rPr>
                <w:sz w:val="20"/>
                <w:szCs w:val="20"/>
              </w:rPr>
              <w:t>The two instruments are complementary. Serve both simultaneously, by registered post and email. Keep proof of delivery for each.</w:t>
            </w:r>
          </w:p>
          <w:p w14:paraId="24C9750B" w14:textId="77777777" w:rsidR="00CE0D36" w:rsidRDefault="00CE0D36">
            <w:pPr>
              <w:spacing w:before="50" w:after="50"/>
            </w:pPr>
          </w:p>
          <w:p w14:paraId="5F9BDA52" w14:textId="77777777" w:rsidR="00CE0D36" w:rsidRDefault="00000000">
            <w:pPr>
              <w:spacing w:before="50" w:after="50"/>
            </w:pPr>
            <w:r>
              <w:rPr>
                <w:sz w:val="20"/>
                <w:szCs w:val="20"/>
              </w:rPr>
              <w:t>This CAN rests on two independent legal foundations:</w:t>
            </w:r>
          </w:p>
          <w:p w14:paraId="791365E2" w14:textId="77777777" w:rsidR="00CE0D36" w:rsidRDefault="00000000">
            <w:pPr>
              <w:spacing w:before="50" w:after="50"/>
            </w:pPr>
            <w:r>
              <w:rPr>
                <w:sz w:val="20"/>
                <w:szCs w:val="20"/>
              </w:rPr>
              <w:t>(1) Contract law: a unilateral variation to a contract requires acceptance by the other party; a conditional acceptance is a genuine counter-offer that the proposing party must satisfy before the variation takes effect.</w:t>
            </w:r>
          </w:p>
          <w:p w14:paraId="78389718" w14:textId="77777777" w:rsidR="00CE0D36" w:rsidRDefault="00000000">
            <w:pPr>
              <w:spacing w:before="50" w:after="50"/>
            </w:pPr>
            <w:r>
              <w:rPr>
                <w:sz w:val="20"/>
                <w:szCs w:val="20"/>
              </w:rPr>
              <w:t>(2) Commonwealth statutory law: meters installed before 1 January 2013 hold a permanent exemption under Regulation 5.6 of the National Trade Measurement Regulations 2009 (</w:t>
            </w:r>
            <w:proofErr w:type="spellStart"/>
            <w:r>
              <w:rPr>
                <w:sz w:val="20"/>
                <w:szCs w:val="20"/>
              </w:rPr>
              <w:t>Cth</w:t>
            </w:r>
            <w:proofErr w:type="spellEnd"/>
            <w:r>
              <w:rPr>
                <w:sz w:val="20"/>
                <w:szCs w:val="20"/>
              </w:rPr>
              <w:t>) from the pattern approval and verification requirements of the National Measurement Act 1960 (</w:t>
            </w:r>
            <w:proofErr w:type="spellStart"/>
            <w:r>
              <w:rPr>
                <w:sz w:val="20"/>
                <w:szCs w:val="20"/>
              </w:rPr>
              <w:t>Cth</w:t>
            </w:r>
            <w:proofErr w:type="spellEnd"/>
            <w:r>
              <w:rPr>
                <w:sz w:val="20"/>
                <w:szCs w:val="20"/>
              </w:rPr>
              <w:t>). The AEMC's rule is subordinate legislation that cannot extinguish this right without express authority. Under s.109 of the Constitution, the Commonwealth instrument prevails.</w:t>
            </w:r>
          </w:p>
          <w:p w14:paraId="2E0967A2" w14:textId="77777777" w:rsidR="00CE0D36" w:rsidRDefault="00CE0D36">
            <w:pPr>
              <w:spacing w:before="50" w:after="50"/>
            </w:pPr>
          </w:p>
          <w:p w14:paraId="39D98BB1" w14:textId="77777777" w:rsidR="00CE0D36" w:rsidRDefault="00000000">
            <w:pPr>
              <w:spacing w:before="50" w:after="50"/>
            </w:pPr>
            <w:r>
              <w:rPr>
                <w:sz w:val="20"/>
                <w:szCs w:val="20"/>
              </w:rPr>
              <w:t>Instructions:</w:t>
            </w:r>
          </w:p>
          <w:p w14:paraId="69D0D6F8" w14:textId="77777777" w:rsidR="00CE0D36" w:rsidRDefault="00000000">
            <w:pPr>
              <w:spacing w:before="50" w:after="50"/>
            </w:pPr>
            <w:r>
              <w:rPr>
                <w:sz w:val="20"/>
                <w:szCs w:val="20"/>
              </w:rPr>
              <w:t>1. Complete every amber ✎ box with your personal details before serving.</w:t>
            </w:r>
          </w:p>
          <w:p w14:paraId="0BD3E7DA" w14:textId="77777777" w:rsidR="00CE0D36" w:rsidRDefault="00000000">
            <w:pPr>
              <w:spacing w:before="50" w:after="50"/>
            </w:pPr>
            <w:r>
              <w:rPr>
                <w:sz w:val="20"/>
                <w:szCs w:val="20"/>
              </w:rPr>
              <w:t>2. Review the ten conditions in Part 3. Remove or modify any that do not apply to your circumstances.</w:t>
            </w:r>
          </w:p>
          <w:p w14:paraId="5B723E0E" w14:textId="77777777" w:rsidR="00CE0D36" w:rsidRDefault="00000000">
            <w:pPr>
              <w:spacing w:before="50" w:after="50"/>
            </w:pPr>
            <w:r>
              <w:rPr>
                <w:sz w:val="20"/>
                <w:szCs w:val="20"/>
              </w:rPr>
              <w:t>3. Serve by registered post AND email simultaneously with your Formal Objection Notice.</w:t>
            </w:r>
          </w:p>
          <w:p w14:paraId="48C39134" w14:textId="77777777" w:rsidR="00CE0D36" w:rsidRDefault="00000000">
            <w:pPr>
              <w:spacing w:before="50" w:after="50"/>
            </w:pPr>
            <w:r>
              <w:rPr>
                <w:sz w:val="20"/>
                <w:szCs w:val="20"/>
              </w:rPr>
              <w:t>4. This instrument is not legal advice. Seek qualified legal counsel for your specific circumstances.</w:t>
            </w:r>
          </w:p>
        </w:tc>
      </w:tr>
    </w:tbl>
    <w:p w14:paraId="32867C88" w14:textId="77777777" w:rsidR="00CE0D36" w:rsidRDefault="00CE0D36">
      <w:pPr>
        <w:spacing w:before="55" w:after="55"/>
      </w:pPr>
    </w:p>
    <w:tbl>
      <w:tblPr>
        <w:tblW w:w="9026" w:type="dxa"/>
        <w:tblInd w:w="1" w:type="dxa"/>
        <w:tblLayout w:type="fixed"/>
        <w:tblCellMar>
          <w:top w:w="120" w:type="dxa"/>
          <w:left w:w="200" w:type="dxa"/>
          <w:bottom w:w="120" w:type="dxa"/>
          <w:right w:w="200" w:type="dxa"/>
        </w:tblCellMar>
        <w:tblLook w:val="0000" w:firstRow="0" w:lastRow="0" w:firstColumn="0" w:lastColumn="0" w:noHBand="0" w:noVBand="0"/>
      </w:tblPr>
      <w:tblGrid>
        <w:gridCol w:w="9026"/>
      </w:tblGrid>
      <w:tr w:rsidR="00CE0D36" w14:paraId="5DB3C3F0" w14:textId="77777777">
        <w:tc>
          <w:tcPr>
            <w:tcW w:w="9026" w:type="dxa"/>
            <w:tcBorders>
              <w:top w:val="single" w:sz="4" w:space="0" w:color="F59E0B"/>
              <w:left w:val="single" w:sz="14" w:space="0" w:color="F59E0B"/>
              <w:bottom w:val="single" w:sz="4" w:space="0" w:color="F59E0B"/>
              <w:right w:val="single" w:sz="4" w:space="0" w:color="F59E0B"/>
            </w:tcBorders>
            <w:shd w:val="clear" w:color="auto" w:fill="FFF3CD"/>
          </w:tcPr>
          <w:p w14:paraId="6C6441EC" w14:textId="77777777" w:rsidR="00CE0D36" w:rsidRDefault="00000000">
            <w:pPr>
              <w:spacing w:before="60" w:after="60"/>
            </w:pPr>
            <w:r>
              <w:rPr>
                <w:b/>
                <w:bCs/>
                <w:color w:val="7B4F00"/>
              </w:rPr>
              <w:t>✎  COMPLETE THIS SECTION</w:t>
            </w:r>
          </w:p>
          <w:p w14:paraId="5D41F6BD" w14:textId="77777777" w:rsidR="00CE0D36" w:rsidRDefault="00000000">
            <w:pPr>
              <w:spacing w:before="50" w:after="50"/>
            </w:pPr>
            <w:r>
              <w:rPr>
                <w:sz w:val="20"/>
                <w:szCs w:val="20"/>
              </w:rPr>
              <w:t>Your full legal name</w:t>
            </w:r>
          </w:p>
          <w:p w14:paraId="46A3A22D" w14:textId="77777777" w:rsidR="00CE0D36" w:rsidRDefault="00000000">
            <w:pPr>
              <w:spacing w:before="50" w:after="50"/>
            </w:pPr>
            <w:r>
              <w:rPr>
                <w:sz w:val="20"/>
                <w:szCs w:val="20"/>
              </w:rPr>
              <w:t>Your street address</w:t>
            </w:r>
          </w:p>
          <w:p w14:paraId="0E91794F" w14:textId="77777777" w:rsidR="00CE0D36" w:rsidRDefault="00000000">
            <w:pPr>
              <w:spacing w:before="50" w:after="50"/>
            </w:pPr>
            <w:r>
              <w:rPr>
                <w:sz w:val="20"/>
                <w:szCs w:val="20"/>
              </w:rPr>
              <w:t>Suburb, State, Postcode</w:t>
            </w:r>
          </w:p>
          <w:p w14:paraId="7DE780D2" w14:textId="77777777" w:rsidR="00CE0D36" w:rsidRDefault="00000000">
            <w:pPr>
              <w:spacing w:before="50" w:after="50"/>
            </w:pPr>
            <w:r>
              <w:rPr>
                <w:sz w:val="20"/>
                <w:szCs w:val="20"/>
              </w:rPr>
              <w:t>Your email address</w:t>
            </w:r>
          </w:p>
          <w:p w14:paraId="3545F02D" w14:textId="77777777" w:rsidR="00CE0D36" w:rsidRDefault="00CE0D36">
            <w:pPr>
              <w:spacing w:before="50" w:after="50"/>
            </w:pPr>
          </w:p>
          <w:p w14:paraId="571BB9CD" w14:textId="77777777" w:rsidR="00CE0D36" w:rsidRDefault="00000000">
            <w:pPr>
              <w:spacing w:before="50" w:after="50"/>
            </w:pPr>
            <w:r>
              <w:rPr>
                <w:sz w:val="20"/>
                <w:szCs w:val="20"/>
              </w:rPr>
              <w:t>Date: [insert date of serving — same date as your Formal Objection Notice]</w:t>
            </w:r>
          </w:p>
        </w:tc>
      </w:tr>
    </w:tbl>
    <w:p w14:paraId="5470BF8E" w14:textId="77777777" w:rsidR="00CE0D36" w:rsidRDefault="00CE0D36">
      <w:pPr>
        <w:spacing w:before="55" w:after="55"/>
      </w:pPr>
    </w:p>
    <w:p w14:paraId="04717D9C" w14:textId="77777777" w:rsidR="00CE0D36" w:rsidRDefault="00000000">
      <w:pPr>
        <w:spacing w:before="55" w:after="55"/>
      </w:pPr>
      <w:r>
        <w:t>To:</w:t>
      </w:r>
    </w:p>
    <w:p w14:paraId="10EC870B" w14:textId="77777777" w:rsidR="00CE0D36" w:rsidRDefault="00000000">
      <w:pPr>
        <w:spacing w:before="55" w:after="55"/>
      </w:pPr>
      <w:r>
        <w:t>Compliance and Customer Service</w:t>
      </w:r>
    </w:p>
    <w:tbl>
      <w:tblPr>
        <w:tblW w:w="9026" w:type="dxa"/>
        <w:tblInd w:w="1" w:type="dxa"/>
        <w:tblLayout w:type="fixed"/>
        <w:tblCellMar>
          <w:top w:w="120" w:type="dxa"/>
          <w:left w:w="200" w:type="dxa"/>
          <w:bottom w:w="120" w:type="dxa"/>
          <w:right w:w="200" w:type="dxa"/>
        </w:tblCellMar>
        <w:tblLook w:val="0000" w:firstRow="0" w:lastRow="0" w:firstColumn="0" w:lastColumn="0" w:noHBand="0" w:noVBand="0"/>
      </w:tblPr>
      <w:tblGrid>
        <w:gridCol w:w="9026"/>
      </w:tblGrid>
      <w:tr w:rsidR="00CE0D36" w14:paraId="4A6FD16E" w14:textId="77777777">
        <w:tc>
          <w:tcPr>
            <w:tcW w:w="9026" w:type="dxa"/>
            <w:tcBorders>
              <w:top w:val="single" w:sz="4" w:space="0" w:color="F59E0B"/>
              <w:left w:val="single" w:sz="14" w:space="0" w:color="F59E0B"/>
              <w:bottom w:val="single" w:sz="4" w:space="0" w:color="F59E0B"/>
              <w:right w:val="single" w:sz="4" w:space="0" w:color="F59E0B"/>
            </w:tcBorders>
            <w:shd w:val="clear" w:color="auto" w:fill="FFF3CD"/>
          </w:tcPr>
          <w:p w14:paraId="5D055B67" w14:textId="77777777" w:rsidR="00CE0D36" w:rsidRDefault="00000000">
            <w:pPr>
              <w:spacing w:before="60" w:after="60"/>
            </w:pPr>
            <w:r>
              <w:rPr>
                <w:b/>
                <w:bCs/>
                <w:color w:val="7B4F00"/>
              </w:rPr>
              <w:t>✎  COMPLETE THIS SECTION</w:t>
            </w:r>
          </w:p>
          <w:p w14:paraId="31907747" w14:textId="77777777" w:rsidR="00CE0D36" w:rsidRDefault="00000000">
            <w:pPr>
              <w:spacing w:before="50" w:after="50"/>
            </w:pPr>
            <w:r>
              <w:rPr>
                <w:i/>
                <w:iCs/>
                <w:sz w:val="20"/>
                <w:szCs w:val="20"/>
              </w:rPr>
              <w:t xml:space="preserve">[Retailer full legal name and ABN, e.g. "Dodo Power &amp; Gas (M2 Energy Pty Ltd, ABN 15 123 155 </w:t>
            </w:r>
            <w:r>
              <w:rPr>
                <w:i/>
                <w:iCs/>
                <w:sz w:val="20"/>
                <w:szCs w:val="20"/>
              </w:rPr>
              <w:lastRenderedPageBreak/>
              <w:t>840)"]</w:t>
            </w:r>
          </w:p>
          <w:p w14:paraId="0E3CB81C" w14:textId="77777777" w:rsidR="00CE0D36" w:rsidRDefault="00000000">
            <w:pPr>
              <w:spacing w:before="50" w:after="50"/>
            </w:pPr>
            <w:r>
              <w:rPr>
                <w:i/>
                <w:iCs/>
                <w:sz w:val="20"/>
                <w:szCs w:val="20"/>
              </w:rPr>
              <w:t>[Retailer compliance postal address and/or email]</w:t>
            </w:r>
          </w:p>
        </w:tc>
      </w:tr>
    </w:tbl>
    <w:p w14:paraId="3EC238D6" w14:textId="77777777" w:rsidR="00CE0D36" w:rsidRDefault="00CE0D36">
      <w:pPr>
        <w:spacing w:before="55" w:after="55"/>
      </w:pPr>
    </w:p>
    <w:p w14:paraId="3C0B3558" w14:textId="77777777" w:rsidR="00CE0D36" w:rsidRDefault="00000000">
      <w:pPr>
        <w:spacing w:before="110" w:after="60"/>
      </w:pPr>
      <w:r>
        <w:rPr>
          <w:b/>
          <w:bCs/>
        </w:rPr>
        <w:t>Re: [Account number] | [Supply address] | NMI [your NMI]</w:t>
      </w:r>
    </w:p>
    <w:p w14:paraId="150A5560" w14:textId="77777777" w:rsidR="00CE0D36" w:rsidRDefault="00000000">
      <w:pPr>
        <w:spacing w:before="60" w:after="110"/>
      </w:pPr>
      <w:r>
        <w:rPr>
          <w:b/>
          <w:bCs/>
        </w:rPr>
        <w:t>Instrument: Conditional Acceptance Notice — AEMC Accelerating Smart Meter Deployment Rule (effective 1 June 2025)</w:t>
      </w:r>
    </w:p>
    <w:p w14:paraId="487A06A3" w14:textId="77777777" w:rsidR="00CE0D36" w:rsidRDefault="00CE0D36">
      <w:pPr>
        <w:spacing w:before="55" w:after="55"/>
      </w:pPr>
    </w:p>
    <w:p w14:paraId="0C5D6EFD" w14:textId="77777777" w:rsidR="00CE0D36" w:rsidRDefault="00000000">
      <w:pPr>
        <w:spacing w:before="110" w:after="110"/>
        <w:jc w:val="both"/>
      </w:pPr>
      <w:r>
        <w:t>To Whom It May Concern,</w:t>
      </w:r>
    </w:p>
    <w:p w14:paraId="7777963B" w14:textId="77777777" w:rsidR="00CE0D36" w:rsidRDefault="00CE0D36">
      <w:pPr>
        <w:spacing w:before="55" w:after="55"/>
      </w:pPr>
    </w:p>
    <w:p w14:paraId="41CB49B9" w14:textId="77777777" w:rsidR="00CE0D36" w:rsidRDefault="00000000">
      <w:pPr>
        <w:spacing w:before="110" w:after="110"/>
        <w:jc w:val="both"/>
      </w:pPr>
      <w:r>
        <w:t xml:space="preserve">I refer to </w:t>
      </w:r>
      <w:r>
        <w:rPr>
          <w:i/>
          <w:iCs/>
        </w:rPr>
        <w:t>[describe the communication received, e.g. "your letter of [date] advising of a scheduled smart meter replacement at the above premises between [date range]"]</w:t>
      </w:r>
      <w:r>
        <w:t>. I treat this as a proposed variation to the retail electricity contract currently in force between us. This notice constitutes my conditional acceptance of that proposed variation, on the terms set out below.</w:t>
      </w:r>
    </w:p>
    <w:p w14:paraId="2ED81473" w14:textId="77777777" w:rsidR="00CE0D36" w:rsidRDefault="00CE0D36">
      <w:pPr>
        <w:spacing w:before="55" w:after="55"/>
      </w:pPr>
    </w:p>
    <w:p w14:paraId="32955C3D" w14:textId="77777777" w:rsidR="00CE0D36" w:rsidRDefault="00000000">
      <w:pPr>
        <w:pStyle w:val="Heading1"/>
      </w:pPr>
      <w:r>
        <w:t>Part 1: The Contractual Foundation</w:t>
      </w:r>
    </w:p>
    <w:p w14:paraId="27006F8C" w14:textId="77777777" w:rsidR="00CE0D36" w:rsidRDefault="00000000">
      <w:pPr>
        <w:spacing w:before="110" w:after="110"/>
        <w:jc w:val="both"/>
      </w:pPr>
      <w:r>
        <w:t>The retail electricity agreement between myself and your organisation is a contract. It was entered into under terms that included, expressly or by incorporation through the National Energy Retail Rules, provisions governing the metering equipment to be used at the supply address. Those terms constituted the agreed basis of the relationship at the time of entry.</w:t>
      </w:r>
    </w:p>
    <w:p w14:paraId="56C40A1A" w14:textId="77777777" w:rsidR="00CE0D36" w:rsidRDefault="00CE0D36">
      <w:pPr>
        <w:spacing w:before="55" w:after="55"/>
      </w:pPr>
    </w:p>
    <w:p w14:paraId="39C462C9" w14:textId="77777777" w:rsidR="00CE0D36" w:rsidRDefault="00000000">
      <w:pPr>
        <w:spacing w:before="110" w:after="110"/>
        <w:jc w:val="both"/>
      </w:pPr>
      <w:r>
        <w:t>Your installation notice constitutes a proposed variation to those terms: it proposes to alter the metering equipment at the supply address in a manner that was not agreed at the outset and to which I have not given consent.</w:t>
      </w:r>
    </w:p>
    <w:p w14:paraId="3E0E7C9B" w14:textId="77777777" w:rsidR="00CE0D36" w:rsidRDefault="00CE0D36">
      <w:pPr>
        <w:spacing w:before="55" w:after="55"/>
      </w:pPr>
    </w:p>
    <w:p w14:paraId="4CCF1A01" w14:textId="77777777" w:rsidR="00CE0D36" w:rsidRDefault="00000000">
      <w:pPr>
        <w:spacing w:before="110" w:after="110"/>
        <w:jc w:val="both"/>
      </w:pPr>
      <w:r>
        <w:t>Under the general law of contract, a unilateral variation proposed by one contracting party does not become binding on the other party without that party's acceptance. An acceptance may be unconditional, in which case the variation takes effect as agreed; or it may be conditional, in which case it constitutes a counter-offer that the proposing party must itself satisfy before the variation takes effect. A conditional acceptance is not a refusal: it is a genuine offer to proceed, contingent on specific terms being met.</w:t>
      </w:r>
    </w:p>
    <w:p w14:paraId="40256E15" w14:textId="77777777" w:rsidR="00CE0D36" w:rsidRDefault="00CE0D36">
      <w:pPr>
        <w:spacing w:before="55" w:after="55"/>
      </w:pPr>
    </w:p>
    <w:p w14:paraId="76FCEDAC" w14:textId="77777777" w:rsidR="00CE0D36" w:rsidRDefault="00000000">
      <w:pPr>
        <w:spacing w:before="110" w:after="110"/>
        <w:jc w:val="both"/>
      </w:pPr>
      <w:r>
        <w:t>This notice constitutes a conditional acceptance of the proposed variation. If all conditions set out in Part 3 are satisfied in writing, signed by an authorised officer of your organisation, prior to any installation date, the variation is accepted and installation may proceed on those terms. If any condition is not satisfied, no acceptance has occurred, the original contract terms remain operative, and no installation is authorised.</w:t>
      </w:r>
    </w:p>
    <w:p w14:paraId="6036DBB7" w14:textId="77777777" w:rsidR="00CE0D36" w:rsidRDefault="00CE0D36">
      <w:pPr>
        <w:spacing w:before="55" w:after="55"/>
      </w:pPr>
    </w:p>
    <w:p w14:paraId="3397DB9D" w14:textId="77777777" w:rsidR="00CE0D36" w:rsidRDefault="00000000">
      <w:pPr>
        <w:pStyle w:val="Heading1"/>
      </w:pPr>
      <w:r>
        <w:t>Part 2: The Commonwealth Statutory Dimension</w:t>
      </w:r>
    </w:p>
    <w:p w14:paraId="63D0F198" w14:textId="77777777" w:rsidR="00CE0D36" w:rsidRDefault="00000000">
      <w:pPr>
        <w:spacing w:before="110" w:after="110"/>
        <w:jc w:val="both"/>
      </w:pPr>
      <w:r>
        <w:t>Independently of the contractual analysis, the proposed variation engages a question of Commonwealth statutory law that your organisation's installation notice has not addressed: the permanent exemption under Regulation 5.6 of the National Trade Measurement Regulations 2009 (</w:t>
      </w:r>
      <w:proofErr w:type="spellStart"/>
      <w:r>
        <w:t>Cth</w:t>
      </w:r>
      <w:proofErr w:type="spellEnd"/>
      <w:r>
        <w:t>).</w:t>
      </w:r>
    </w:p>
    <w:p w14:paraId="61D15312" w14:textId="77777777" w:rsidR="00CE0D36" w:rsidRDefault="00CE0D36">
      <w:pPr>
        <w:spacing w:before="55" w:after="55"/>
      </w:pPr>
    </w:p>
    <w:tbl>
      <w:tblPr>
        <w:tblW w:w="9026" w:type="dxa"/>
        <w:tblInd w:w="1" w:type="dxa"/>
        <w:tblLayout w:type="fixed"/>
        <w:tblCellMar>
          <w:top w:w="120" w:type="dxa"/>
          <w:left w:w="200" w:type="dxa"/>
          <w:bottom w:w="120" w:type="dxa"/>
          <w:right w:w="200" w:type="dxa"/>
        </w:tblCellMar>
        <w:tblLook w:val="0000" w:firstRow="0" w:lastRow="0" w:firstColumn="0" w:lastColumn="0" w:noHBand="0" w:noVBand="0"/>
      </w:tblPr>
      <w:tblGrid>
        <w:gridCol w:w="9026"/>
      </w:tblGrid>
      <w:tr w:rsidR="00CE0D36" w14:paraId="33A44CDB"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Pr>
          <w:p w14:paraId="366CC73C" w14:textId="77777777" w:rsidR="00CE0D36" w:rsidRDefault="00000000">
            <w:pPr>
              <w:spacing w:before="60" w:after="60"/>
            </w:pPr>
            <w:r>
              <w:rPr>
                <w:b/>
                <w:bCs/>
                <w:color w:val="1D4E8F"/>
              </w:rPr>
              <w:t>ℹ️  REGULATION 5.6 NTMR 2009 (CTH) — EXEMPT UTILITY METERS</w:t>
            </w:r>
          </w:p>
          <w:p w14:paraId="06241FA5" w14:textId="77777777" w:rsidR="00CE0D36" w:rsidRDefault="00000000">
            <w:pPr>
              <w:spacing w:before="50" w:after="50"/>
            </w:pPr>
            <w:r>
              <w:rPr>
                <w:sz w:val="20"/>
                <w:szCs w:val="20"/>
              </w:rPr>
              <w:t>Regulation 5.6 of the National Trade Measurement Regulations 2009 (</w:t>
            </w:r>
            <w:proofErr w:type="spellStart"/>
            <w:r>
              <w:rPr>
                <w:sz w:val="20"/>
                <w:szCs w:val="20"/>
              </w:rPr>
              <w:t>Cth</w:t>
            </w:r>
            <w:proofErr w:type="spellEnd"/>
            <w:r>
              <w:rPr>
                <w:sz w:val="20"/>
                <w:szCs w:val="20"/>
              </w:rPr>
              <w:t>) provides that electricity meters installed before 1 January 2013 are exempted from the operation of section 4A of the National Measurement Act 1960 (</w:t>
            </w:r>
            <w:proofErr w:type="spellStart"/>
            <w:r>
              <w:rPr>
                <w:sz w:val="20"/>
                <w:szCs w:val="20"/>
              </w:rPr>
              <w:t>Cth</w:t>
            </w:r>
            <w:proofErr w:type="spellEnd"/>
            <w:r>
              <w:rPr>
                <w:sz w:val="20"/>
                <w:szCs w:val="20"/>
              </w:rPr>
              <w:t>).</w:t>
            </w:r>
          </w:p>
          <w:p w14:paraId="32DE9E10" w14:textId="77777777" w:rsidR="00CE0D36" w:rsidRDefault="00CE0D36">
            <w:pPr>
              <w:spacing w:before="50" w:after="50"/>
            </w:pPr>
          </w:p>
          <w:p w14:paraId="21628A3B" w14:textId="77777777" w:rsidR="00CE0D36" w:rsidRDefault="00000000">
            <w:pPr>
              <w:spacing w:before="50" w:after="50"/>
            </w:pPr>
            <w:r>
              <w:rPr>
                <w:sz w:val="20"/>
                <w:szCs w:val="20"/>
              </w:rPr>
              <w:t>Section 4A governs the requirements for pattern approval and verification of measuring instruments used for trade. The AEMO's own published Guideline for Clarification of the National Measurement Act confirms: "electricity meters installed before 1 January 2013 are exempted from the operation of section 4A of the Act" and that "an exemption will remain for meters installed before the date the exemption is lifted." For pre-2013 meters, no such lifting has occurred.</w:t>
            </w:r>
          </w:p>
          <w:p w14:paraId="5C5DB8AC" w14:textId="77777777" w:rsidR="00CE0D36" w:rsidRDefault="00CE0D36">
            <w:pPr>
              <w:spacing w:before="50" w:after="50"/>
            </w:pPr>
          </w:p>
          <w:p w14:paraId="12828404" w14:textId="77777777" w:rsidR="00CE0D36" w:rsidRDefault="00000000">
            <w:pPr>
              <w:spacing w:before="50" w:after="50"/>
            </w:pPr>
            <w:r>
              <w:rPr>
                <w:sz w:val="20"/>
                <w:szCs w:val="20"/>
              </w:rPr>
              <w:t>The National Measurement Act 1960 (</w:t>
            </w:r>
            <w:proofErr w:type="spellStart"/>
            <w:r>
              <w:rPr>
                <w:sz w:val="20"/>
                <w:szCs w:val="20"/>
              </w:rPr>
              <w:t>Cth</w:t>
            </w:r>
            <w:proofErr w:type="spellEnd"/>
            <w:r>
              <w:rPr>
                <w:sz w:val="20"/>
                <w:szCs w:val="20"/>
              </w:rPr>
              <w:t>) is a Commonwealth Act of Parliament. The AEMC's metering mandate is subordinate legislation made under the National Electricity (South Australia) Act 1996, adopted by NEM jurisdictions. Under section 109 of the Constitution, Commonwealth law prevails over inconsistent state-derived subordinate legislation.</w:t>
            </w:r>
          </w:p>
          <w:p w14:paraId="340F45A7" w14:textId="77777777" w:rsidR="00CE0D36" w:rsidRDefault="00CE0D36">
            <w:pPr>
              <w:spacing w:before="50" w:after="50"/>
            </w:pPr>
          </w:p>
          <w:p w14:paraId="48EFD3FC" w14:textId="77777777" w:rsidR="00CE0D36" w:rsidRDefault="00000000">
            <w:pPr>
              <w:spacing w:before="50" w:after="50"/>
            </w:pPr>
            <w:r>
              <w:rPr>
                <w:sz w:val="20"/>
                <w:szCs w:val="20"/>
              </w:rPr>
              <w:t>If your existing meter was installed before 1 January 2013, this exemption applies to you. Confirm your meter installation date from your property records or ask your distributor.</w:t>
            </w:r>
          </w:p>
        </w:tc>
      </w:tr>
    </w:tbl>
    <w:p w14:paraId="41252D06" w14:textId="77777777" w:rsidR="00CE0D36" w:rsidRDefault="00CE0D36">
      <w:pPr>
        <w:spacing w:before="55" w:after="55"/>
      </w:pPr>
    </w:p>
    <w:tbl>
      <w:tblPr>
        <w:tblW w:w="9026" w:type="dxa"/>
        <w:tblInd w:w="1" w:type="dxa"/>
        <w:tblLayout w:type="fixed"/>
        <w:tblCellMar>
          <w:top w:w="120" w:type="dxa"/>
          <w:left w:w="200" w:type="dxa"/>
          <w:bottom w:w="120" w:type="dxa"/>
          <w:right w:w="200" w:type="dxa"/>
        </w:tblCellMar>
        <w:tblLook w:val="0000" w:firstRow="0" w:lastRow="0" w:firstColumn="0" w:lastColumn="0" w:noHBand="0" w:noVBand="0"/>
      </w:tblPr>
      <w:tblGrid>
        <w:gridCol w:w="9026"/>
      </w:tblGrid>
      <w:tr w:rsidR="00CE0D36" w14:paraId="75EFAAD6" w14:textId="77777777">
        <w:tc>
          <w:tcPr>
            <w:tcW w:w="9026" w:type="dxa"/>
            <w:tcBorders>
              <w:top w:val="single" w:sz="4" w:space="0" w:color="F59E0B"/>
              <w:left w:val="single" w:sz="14" w:space="0" w:color="F59E0B"/>
              <w:bottom w:val="single" w:sz="4" w:space="0" w:color="F59E0B"/>
              <w:right w:val="single" w:sz="4" w:space="0" w:color="F59E0B"/>
            </w:tcBorders>
            <w:shd w:val="clear" w:color="auto" w:fill="FFF3CD"/>
          </w:tcPr>
          <w:p w14:paraId="4A3D1340" w14:textId="77777777" w:rsidR="00CE0D36" w:rsidRDefault="00000000">
            <w:pPr>
              <w:spacing w:before="60" w:after="60"/>
            </w:pPr>
            <w:r>
              <w:rPr>
                <w:b/>
                <w:bCs/>
                <w:color w:val="7B4F00"/>
              </w:rPr>
              <w:t>✎  COMPLETE THIS SECTION</w:t>
            </w:r>
          </w:p>
          <w:p w14:paraId="24185073" w14:textId="77777777" w:rsidR="00CE0D36" w:rsidRDefault="00000000">
            <w:pPr>
              <w:spacing w:before="50" w:after="50"/>
            </w:pPr>
            <w:r>
              <w:rPr>
                <w:sz w:val="20"/>
                <w:szCs w:val="20"/>
              </w:rPr>
              <w:t>Confirm whether your existing meter was installed before 1 January 2013: [Yes / No / Unknown — check with distributor]</w:t>
            </w:r>
          </w:p>
          <w:p w14:paraId="53D30938" w14:textId="77777777" w:rsidR="00CE0D36" w:rsidRDefault="00CE0D36">
            <w:pPr>
              <w:spacing w:before="50" w:after="50"/>
            </w:pPr>
          </w:p>
          <w:p w14:paraId="62158115" w14:textId="77777777" w:rsidR="00CE0D36" w:rsidRDefault="00000000">
            <w:pPr>
              <w:spacing w:before="50" w:after="50"/>
            </w:pPr>
            <w:r>
              <w:rPr>
                <w:sz w:val="20"/>
                <w:szCs w:val="20"/>
              </w:rPr>
              <w:t>If YES: the following paragraphs apply in full.</w:t>
            </w:r>
          </w:p>
          <w:p w14:paraId="6E05F75D" w14:textId="77777777" w:rsidR="00CE0D36" w:rsidRDefault="00000000">
            <w:pPr>
              <w:spacing w:before="50" w:after="50"/>
            </w:pPr>
            <w:r>
              <w:rPr>
                <w:sz w:val="20"/>
                <w:szCs w:val="20"/>
              </w:rPr>
              <w:t>If NO or UNKNOWN: Part 2 may still be relevant in modified form — seek legal advice.</w:t>
            </w:r>
          </w:p>
        </w:tc>
      </w:tr>
    </w:tbl>
    <w:p w14:paraId="0679BDEB" w14:textId="77777777" w:rsidR="00CE0D36" w:rsidRDefault="00CE0D36">
      <w:pPr>
        <w:spacing w:before="55" w:after="55"/>
      </w:pPr>
    </w:p>
    <w:p w14:paraId="0777A2B0" w14:textId="77777777" w:rsidR="00CE0D36" w:rsidRDefault="00000000">
      <w:pPr>
        <w:spacing w:before="110" w:after="110"/>
        <w:jc w:val="both"/>
      </w:pPr>
      <w:r>
        <w:t>The existing electricity meter at this premises was installed before 1 January 2013. It is therefore permanently exempted from the pattern approval and verification requirements of section 4A of the National Measurement Act 1960 (</w:t>
      </w:r>
      <w:proofErr w:type="spellStart"/>
      <w:r>
        <w:t>Cth</w:t>
      </w:r>
      <w:proofErr w:type="spellEnd"/>
      <w:r>
        <w:t>) by operation of Regulation 5.6. That exemption constitutes an accrued statutory right at Commonwealth level.</w:t>
      </w:r>
    </w:p>
    <w:p w14:paraId="13A8E3E6" w14:textId="77777777" w:rsidR="00CE0D36" w:rsidRDefault="00CE0D36">
      <w:pPr>
        <w:spacing w:before="55" w:after="55"/>
      </w:pPr>
    </w:p>
    <w:p w14:paraId="513BBD9A" w14:textId="77777777" w:rsidR="00CE0D36" w:rsidRDefault="00000000">
      <w:pPr>
        <w:spacing w:before="110" w:after="110"/>
        <w:jc w:val="both"/>
      </w:pPr>
      <w:r>
        <w:t>The AEMC's November 2024 determination contains no provision expressly extinguishing rights accrued under the National Measurement Act 1960 (</w:t>
      </w:r>
      <w:proofErr w:type="spellStart"/>
      <w:r>
        <w:t>Cth</w:t>
      </w:r>
      <w:proofErr w:type="spellEnd"/>
      <w:r>
        <w:t>) or the National Trade Measurement Regulations 2009 (</w:t>
      </w:r>
      <w:proofErr w:type="spellStart"/>
      <w:r>
        <w:t>Cth</w:t>
      </w:r>
      <w:proofErr w:type="spellEnd"/>
      <w:r>
        <w:t>). In the absence of express extinguishment language, the accrued statutory exemption survives: see Acts Interpretation Act 1901 (</w:t>
      </w:r>
      <w:proofErr w:type="spellStart"/>
      <w:r>
        <w:t>Cth</w:t>
      </w:r>
      <w:proofErr w:type="spellEnd"/>
      <w:r>
        <w:t>) s.46, which provides that the amendment or repeal of a legislative instrument does not affect rights accrued under it unless the contrary intention expressly appears.</w:t>
      </w:r>
    </w:p>
    <w:p w14:paraId="7BE5AEFC" w14:textId="77777777" w:rsidR="00CE0D36" w:rsidRDefault="00CE0D36">
      <w:pPr>
        <w:spacing w:before="55" w:after="55"/>
      </w:pPr>
    </w:p>
    <w:p w14:paraId="3576E4EC" w14:textId="77777777" w:rsidR="00CE0D36" w:rsidRDefault="00000000">
      <w:pPr>
        <w:spacing w:before="110" w:after="110"/>
        <w:jc w:val="both"/>
      </w:pPr>
      <w:r>
        <w:t>The consequence is this: the mandatory replacement of a meter that is lawfully operating under a permanent Commonwealth statutory exemption, by subordinate AEMC legislation containing no express authority to extinguish that exemption, is prima facie inconsistent with the Commonwealth instrument. The Commonwealth instrument prevails under section 109 of the Constitution.</w:t>
      </w:r>
    </w:p>
    <w:p w14:paraId="2D38F073" w14:textId="77777777" w:rsidR="00CE0D36" w:rsidRDefault="00CE0D36">
      <w:pPr>
        <w:spacing w:before="55" w:after="55"/>
      </w:pPr>
    </w:p>
    <w:tbl>
      <w:tblPr>
        <w:tblW w:w="9026" w:type="dxa"/>
        <w:tblInd w:w="1" w:type="dxa"/>
        <w:tblLayout w:type="fixed"/>
        <w:tblCellMar>
          <w:top w:w="120" w:type="dxa"/>
          <w:left w:w="200" w:type="dxa"/>
          <w:bottom w:w="120" w:type="dxa"/>
          <w:right w:w="200" w:type="dxa"/>
        </w:tblCellMar>
        <w:tblLook w:val="0000" w:firstRow="0" w:lastRow="0" w:firstColumn="0" w:lastColumn="0" w:noHBand="0" w:noVBand="0"/>
      </w:tblPr>
      <w:tblGrid>
        <w:gridCol w:w="9026"/>
      </w:tblGrid>
      <w:tr w:rsidR="00CE0D36" w14:paraId="6126CEAB" w14:textId="77777777">
        <w:tc>
          <w:tcPr>
            <w:tcW w:w="9026" w:type="dxa"/>
            <w:tcBorders>
              <w:top w:val="single" w:sz="4" w:space="0" w:color="DC2626"/>
              <w:left w:val="single" w:sz="14" w:space="0" w:color="DC2626"/>
              <w:bottom w:val="single" w:sz="4" w:space="0" w:color="DC2626"/>
              <w:right w:val="single" w:sz="4" w:space="0" w:color="DC2626"/>
            </w:tcBorders>
            <w:shd w:val="clear" w:color="auto" w:fill="FEE2E2"/>
          </w:tcPr>
          <w:p w14:paraId="7C6D46E3" w14:textId="77777777" w:rsidR="00CE0D36" w:rsidRDefault="00000000">
            <w:pPr>
              <w:spacing w:before="60" w:after="60"/>
            </w:pPr>
            <w:r>
              <w:rPr>
                <w:b/>
                <w:bCs/>
                <w:color w:val="7F1D1D"/>
              </w:rPr>
              <w:lastRenderedPageBreak/>
              <w:t>⚠️  NOTE: COMPLIANCE OF THE REPLACEMENT DEVICE ITSELF</w:t>
            </w:r>
          </w:p>
          <w:p w14:paraId="07456DE0" w14:textId="77777777" w:rsidR="00CE0D36" w:rsidRDefault="00000000">
            <w:pPr>
              <w:spacing w:before="50" w:after="50"/>
            </w:pPr>
            <w:r>
              <w:rPr>
                <w:sz w:val="20"/>
                <w:szCs w:val="20"/>
              </w:rPr>
              <w:t>If your pre-2013 meter is removed and a post-2013 smart meter installed, the new meter is NOT covered by the Reg 5.6 exemption. It must comply with section 4A of the NMA 1960: it must be of an approved pattern and verified by an appointed Utility Meter Verifier prior to installation.</w:t>
            </w:r>
          </w:p>
          <w:p w14:paraId="0D94E426" w14:textId="77777777" w:rsidR="00CE0D36" w:rsidRDefault="00CE0D36">
            <w:pPr>
              <w:spacing w:before="50" w:after="50"/>
            </w:pPr>
          </w:p>
          <w:p w14:paraId="24013B01" w14:textId="77777777" w:rsidR="00CE0D36" w:rsidRDefault="00000000">
            <w:pPr>
              <w:spacing w:before="50" w:after="50"/>
            </w:pPr>
            <w:r>
              <w:rPr>
                <w:sz w:val="20"/>
                <w:szCs w:val="20"/>
              </w:rPr>
              <w:t>Condition 6 below requires the retailer to confirm pattern approval and verification of the replacement device. If it cannot do so, the installation of that device may itself constitute an offence under the National Measurement Act 1960 (</w:t>
            </w:r>
            <w:proofErr w:type="spellStart"/>
            <w:r>
              <w:rPr>
                <w:sz w:val="20"/>
                <w:szCs w:val="20"/>
              </w:rPr>
              <w:t>Cth</w:t>
            </w:r>
            <w:proofErr w:type="spellEnd"/>
            <w:r>
              <w:rPr>
                <w:sz w:val="20"/>
                <w:szCs w:val="20"/>
              </w:rPr>
              <w:t>).</w:t>
            </w:r>
          </w:p>
          <w:p w14:paraId="5E416DDA" w14:textId="77777777" w:rsidR="00CE0D36" w:rsidRDefault="00CE0D36">
            <w:pPr>
              <w:spacing w:before="50" w:after="50"/>
            </w:pPr>
          </w:p>
          <w:p w14:paraId="0F2031E5" w14:textId="77777777" w:rsidR="00CE0D36" w:rsidRDefault="00000000">
            <w:pPr>
              <w:spacing w:before="50" w:after="50"/>
            </w:pPr>
            <w:r>
              <w:rPr>
                <w:sz w:val="20"/>
                <w:szCs w:val="20"/>
              </w:rPr>
              <w:t>This is an independent ground on which to require written confirmation before any installation proceeds.</w:t>
            </w:r>
          </w:p>
        </w:tc>
      </w:tr>
    </w:tbl>
    <w:p w14:paraId="28D363F8" w14:textId="77777777" w:rsidR="00CE0D36" w:rsidRDefault="00CE0D36">
      <w:pPr>
        <w:spacing w:before="55" w:after="55"/>
      </w:pPr>
    </w:p>
    <w:p w14:paraId="50AEDF82" w14:textId="77777777" w:rsidR="00CE0D36" w:rsidRDefault="00000000">
      <w:pPr>
        <w:pStyle w:val="Heading1"/>
      </w:pPr>
      <w:r>
        <w:t>Part 3: The Conditions of Acceptance</w:t>
      </w:r>
    </w:p>
    <w:p w14:paraId="5FC163D4" w14:textId="77777777" w:rsidR="00CE0D36" w:rsidRDefault="00000000">
      <w:pPr>
        <w:spacing w:before="110" w:after="110"/>
        <w:jc w:val="both"/>
      </w:pPr>
      <w:r>
        <w:t xml:space="preserve">I hereby conditionally accept the proposed variation to the retail electricity contract at </w:t>
      </w:r>
      <w:r>
        <w:rPr>
          <w:i/>
          <w:iCs/>
        </w:rPr>
        <w:t>[supply address]</w:t>
      </w:r>
      <w:r>
        <w:t>, on the following conditions. All conditions must be satisfied in writing, signed by an authorised officer of your organisation, prior to any installation date. Satisfaction of some but not all conditions does not constitute acceptance.</w:t>
      </w:r>
    </w:p>
    <w:p w14:paraId="191FA18C" w14:textId="77777777" w:rsidR="00CE0D36" w:rsidRDefault="00CE0D36">
      <w:pPr>
        <w:spacing w:before="55" w:after="55"/>
      </w:pPr>
    </w:p>
    <w:tbl>
      <w:tblPr>
        <w:tblW w:w="9026" w:type="dxa"/>
        <w:tblInd w:w="1" w:type="dxa"/>
        <w:tblLayout w:type="fixed"/>
        <w:tblCellMar>
          <w:top w:w="120" w:type="dxa"/>
          <w:left w:w="200" w:type="dxa"/>
          <w:bottom w:w="120" w:type="dxa"/>
          <w:right w:w="200" w:type="dxa"/>
        </w:tblCellMar>
        <w:tblLook w:val="0000" w:firstRow="0" w:lastRow="0" w:firstColumn="0" w:lastColumn="0" w:noHBand="0" w:noVBand="0"/>
      </w:tblPr>
      <w:tblGrid>
        <w:gridCol w:w="9026"/>
      </w:tblGrid>
      <w:tr w:rsidR="00CE0D36" w14:paraId="6D7444BE"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Pr>
          <w:p w14:paraId="6D85300E" w14:textId="77777777" w:rsidR="00CE0D36" w:rsidRDefault="00000000">
            <w:pPr>
              <w:spacing w:before="60" w:after="60"/>
            </w:pPr>
            <w:r>
              <w:rPr>
                <w:b/>
                <w:bCs/>
                <w:color w:val="1D4E8F"/>
              </w:rPr>
              <w:t>ℹ️  ABOUT THE CONDITIONS</w:t>
            </w:r>
          </w:p>
          <w:p w14:paraId="29916BC5" w14:textId="77777777" w:rsidR="00CE0D36" w:rsidRDefault="00000000">
            <w:pPr>
              <w:spacing w:before="50" w:after="50"/>
            </w:pPr>
            <w:r>
              <w:rPr>
                <w:sz w:val="20"/>
                <w:szCs w:val="20"/>
              </w:rPr>
              <w:t>These ten conditions mirror and reinforce the demands in the Formal Objection Notice, but operate on a different legal track. They are framed as conditions precedent to contractual acceptance rather than regulatory objections.</w:t>
            </w:r>
          </w:p>
          <w:p w14:paraId="4AE02095" w14:textId="77777777" w:rsidR="00CE0D36" w:rsidRDefault="00CE0D36">
            <w:pPr>
              <w:spacing w:before="50" w:after="50"/>
            </w:pPr>
          </w:p>
          <w:p w14:paraId="134EE0EE" w14:textId="77777777" w:rsidR="00CE0D36" w:rsidRDefault="00000000">
            <w:pPr>
              <w:spacing w:before="50" w:after="50"/>
            </w:pPr>
            <w:r>
              <w:rPr>
                <w:sz w:val="20"/>
                <w:szCs w:val="20"/>
              </w:rPr>
              <w:t>None of these conditions is arbitrary. Each is something that a reasonable property owner would require before consenting to a material alteration of their own infrastructure by a third party. The practical consequence is that your retailer faces a genuine dilemma: satisfy the conditions (which requires admissions it cannot make) or fail to satisfy them (in which case no acceptance has occurred and no installation is authorised).</w:t>
            </w:r>
          </w:p>
          <w:p w14:paraId="5417B40C" w14:textId="77777777" w:rsidR="00CE0D36" w:rsidRDefault="00CE0D36">
            <w:pPr>
              <w:spacing w:before="50" w:after="50"/>
            </w:pPr>
          </w:p>
          <w:p w14:paraId="2C6302EF" w14:textId="77777777" w:rsidR="00CE0D36" w:rsidRDefault="00000000">
            <w:pPr>
              <w:spacing w:before="50" w:after="50"/>
            </w:pPr>
            <w:r>
              <w:rPr>
                <w:sz w:val="20"/>
                <w:szCs w:val="20"/>
              </w:rPr>
              <w:t>Remove or modify any condition that does not apply to your circumstances. However: conditions 1, 2, 3, 6, and 7 are the most legally robust and should be retained wherever possible.</w:t>
            </w:r>
          </w:p>
        </w:tc>
      </w:tr>
    </w:tbl>
    <w:p w14:paraId="207E1686" w14:textId="77777777" w:rsidR="00CE0D36" w:rsidRDefault="00CE0D36">
      <w:pPr>
        <w:spacing w:before="55" w:after="55"/>
      </w:pPr>
    </w:p>
    <w:p w14:paraId="2032E2EE" w14:textId="77777777" w:rsidR="00CE0D36" w:rsidRDefault="00000000">
      <w:pPr>
        <w:pStyle w:val="ListParagraph"/>
        <w:numPr>
          <w:ilvl w:val="0"/>
          <w:numId w:val="4"/>
        </w:numPr>
        <w:spacing w:before="100" w:after="100"/>
        <w:jc w:val="both"/>
      </w:pPr>
      <w:r>
        <w:rPr>
          <w:b/>
          <w:bCs/>
        </w:rPr>
        <w:t xml:space="preserve">Meter type: </w:t>
      </w:r>
      <w:r>
        <w:t>The replacement device must be a Type 4A non-communicating smart meter with all radiofrequency transmission, remote access, and demand-side management capabilities disabled permanently at the hardware level prior to any connection to my infrastructure. This right is confirmed in the Australian Energy Regulator's Guidance to Retailers (2025). Written confirmation must include the specific make, model, and hardware configuration of the device to be installed.</w:t>
      </w:r>
    </w:p>
    <w:p w14:paraId="5B388C8A" w14:textId="77777777" w:rsidR="00CE0D36" w:rsidRDefault="00CE0D36">
      <w:pPr>
        <w:spacing w:before="55" w:after="55"/>
      </w:pPr>
    </w:p>
    <w:p w14:paraId="2374804C" w14:textId="77777777" w:rsidR="00CE0D36" w:rsidRDefault="00000000">
      <w:pPr>
        <w:pStyle w:val="ListParagraph"/>
        <w:numPr>
          <w:ilvl w:val="0"/>
          <w:numId w:val="1"/>
        </w:numPr>
        <w:spacing w:before="100" w:after="100"/>
        <w:jc w:val="both"/>
      </w:pPr>
      <w:r>
        <w:rPr>
          <w:b/>
          <w:bCs/>
        </w:rPr>
        <w:t xml:space="preserve">Fire and infrastructure liability indemnity: </w:t>
      </w:r>
      <w:r>
        <w:t>A written indemnity signed by an authorised officer of your organisation, accepting full and unconditional liability for any fire, electrical damage, structural damage, equipment damage, or insurance coverage failure arising from the installation or ongoing operation of any smart meter device at this premises. The indemnity must specifically acknowledge the conducted emissions profile of switch-mode power supply (SMPS) technology and its interaction with the existing wiring installation.</w:t>
      </w:r>
    </w:p>
    <w:p w14:paraId="476AA83E" w14:textId="77777777" w:rsidR="00CE0D36" w:rsidRDefault="00CE0D36">
      <w:pPr>
        <w:spacing w:before="55" w:after="55"/>
      </w:pPr>
    </w:p>
    <w:p w14:paraId="61C53B0C" w14:textId="77777777" w:rsidR="00CE0D36" w:rsidRDefault="00000000">
      <w:pPr>
        <w:pStyle w:val="ListParagraph"/>
        <w:numPr>
          <w:ilvl w:val="0"/>
          <w:numId w:val="1"/>
        </w:numPr>
        <w:spacing w:before="100" w:after="100"/>
        <w:jc w:val="both"/>
      </w:pPr>
      <w:r>
        <w:rPr>
          <w:b/>
          <w:bCs/>
        </w:rPr>
        <w:lastRenderedPageBreak/>
        <w:t xml:space="preserve">Independent wiring compatibility assessment: </w:t>
      </w:r>
      <w:r>
        <w:t>Written confirmation that an independent electrical safety assessment has been conducted by a licensed electrical engineer, and that the existing wiring at this premises has been certified as compatible with the conducted emissions and over-current profile of smart meter SMPS technology. The assessment must have been conducted by an engineer with no commercial relationship with your organisation or the metering coordinator.</w:t>
      </w:r>
    </w:p>
    <w:p w14:paraId="6677241B" w14:textId="77777777" w:rsidR="00CE0D36" w:rsidRDefault="00CE0D36">
      <w:pPr>
        <w:spacing w:before="55" w:after="55"/>
      </w:pPr>
    </w:p>
    <w:p w14:paraId="03B11D78" w14:textId="77777777" w:rsidR="00CE0D36" w:rsidRDefault="00000000">
      <w:pPr>
        <w:pStyle w:val="ListParagraph"/>
        <w:numPr>
          <w:ilvl w:val="0"/>
          <w:numId w:val="1"/>
        </w:numPr>
        <w:spacing w:before="100" w:after="100"/>
        <w:jc w:val="both"/>
      </w:pPr>
      <w:r>
        <w:rPr>
          <w:b/>
          <w:bCs/>
        </w:rPr>
        <w:t xml:space="preserve">Insurance confirmation: </w:t>
      </w:r>
      <w:r>
        <w:t>Written confirmation that your organisation holds insurance covering its liability arising from the installation of a smart meter at this premises against the expressed objection of the property owner; the name of the insurer; and confirmation that the policy has not been limited by any exclusion equivalent to CFC Underwriting (Lloyd's of London) Standard Exclusion 32 (electromagnetic fields).</w:t>
      </w:r>
    </w:p>
    <w:p w14:paraId="3CC42929" w14:textId="77777777" w:rsidR="00CE0D36" w:rsidRDefault="00CE0D36">
      <w:pPr>
        <w:spacing w:before="55" w:after="55"/>
      </w:pPr>
    </w:p>
    <w:p w14:paraId="4C6BD5F2" w14:textId="77777777" w:rsidR="00CE0D36" w:rsidRDefault="00000000">
      <w:pPr>
        <w:pStyle w:val="ListParagraph"/>
        <w:numPr>
          <w:ilvl w:val="0"/>
          <w:numId w:val="1"/>
        </w:numPr>
        <w:spacing w:before="100" w:after="100"/>
        <w:jc w:val="both"/>
      </w:pPr>
      <w:r>
        <w:rPr>
          <w:b/>
          <w:bCs/>
        </w:rPr>
        <w:t xml:space="preserve">Data handling and cybersecurity: </w:t>
      </w:r>
      <w:r>
        <w:t>Written confirmation of: (a) the specific cybersecurity standards to which the installed device will comply; (b) written acceptance of liability for any breach of those standards; (c) a full description of what interval consumption data will be collected, transmitted, and retained; (d) the identity of all parties with access to that data; and (e) the retention and deletion policy. I have not consented to the generation, transmission, or storage of 30-minute interval consumption data; this condition constitutes the terms on which such consent may be given.</w:t>
      </w:r>
    </w:p>
    <w:p w14:paraId="5FFB8CC3" w14:textId="77777777" w:rsidR="00CE0D36" w:rsidRDefault="00CE0D36">
      <w:pPr>
        <w:spacing w:before="55" w:after="55"/>
      </w:pPr>
    </w:p>
    <w:p w14:paraId="50540B9A" w14:textId="77777777" w:rsidR="00CE0D36" w:rsidRDefault="00000000">
      <w:pPr>
        <w:pStyle w:val="ListParagraph"/>
        <w:numPr>
          <w:ilvl w:val="0"/>
          <w:numId w:val="1"/>
        </w:numPr>
        <w:spacing w:before="100" w:after="100"/>
        <w:jc w:val="both"/>
      </w:pPr>
      <w:r>
        <w:rPr>
          <w:b/>
          <w:bCs/>
        </w:rPr>
        <w:t>National Measurement Act 1960 (</w:t>
      </w:r>
      <w:proofErr w:type="spellStart"/>
      <w:r>
        <w:rPr>
          <w:b/>
          <w:bCs/>
        </w:rPr>
        <w:t>Cth</w:t>
      </w:r>
      <w:proofErr w:type="spellEnd"/>
      <w:r>
        <w:rPr>
          <w:b/>
          <w:bCs/>
        </w:rPr>
        <w:t xml:space="preserve">) compliance of replacement device: </w:t>
      </w:r>
      <w:r>
        <w:t>Written confirmation that the replacement device has been granted pattern approval under section 4A of the National Measurement Act 1960 (</w:t>
      </w:r>
      <w:proofErr w:type="spellStart"/>
      <w:r>
        <w:t>Cth</w:t>
      </w:r>
      <w:proofErr w:type="spellEnd"/>
      <w:r>
        <w:t>), including the pattern approval certificate number; and that the specific device to be installed at this premises has been verified by an appointed Utility Meter Verifier in accordance with the requirements of the NMA 1960 and the National Trade Measurement Regulations 2009 (</w:t>
      </w:r>
      <w:proofErr w:type="spellStart"/>
      <w:r>
        <w:t>Cth</w:t>
      </w:r>
      <w:proofErr w:type="spellEnd"/>
      <w:r>
        <w:t>).</w:t>
      </w:r>
    </w:p>
    <w:p w14:paraId="434DE8F7" w14:textId="77777777" w:rsidR="00CE0D36" w:rsidRDefault="00CE0D36">
      <w:pPr>
        <w:spacing w:before="55" w:after="55"/>
      </w:pPr>
    </w:p>
    <w:p w14:paraId="1EEF134A" w14:textId="77777777" w:rsidR="00CE0D36" w:rsidRDefault="00000000">
      <w:pPr>
        <w:pStyle w:val="ListParagraph"/>
        <w:numPr>
          <w:ilvl w:val="0"/>
          <w:numId w:val="1"/>
        </w:numPr>
        <w:spacing w:before="100" w:after="100"/>
        <w:jc w:val="both"/>
      </w:pPr>
      <w:r>
        <w:rPr>
          <w:b/>
          <w:bCs/>
        </w:rPr>
        <w:t xml:space="preserve">Regulation 5.6 extinguishment authority: </w:t>
      </w:r>
      <w:r>
        <w:t>Written confirmation, with specific citation of the statutory authority, that the AEMC's November 2024 Accelerating Smart Meter Deployment determination contains express authority to extinguish the accrued statutory exemption under Regulation 5.6 of the National Trade Measurement Regulations 2009 (</w:t>
      </w:r>
      <w:proofErr w:type="spellStart"/>
      <w:r>
        <w:t>Cth</w:t>
      </w:r>
      <w:proofErr w:type="spellEnd"/>
      <w:r>
        <w:t>) applying to electricity meters installed before 1 January 2013; or, in the alternative, written acknowledgement that no such authority has been identified and that your organisation accepts that the mandatory replacement of this pre-2013 meter requires resolution of this question before it can lawfully proceed.</w:t>
      </w:r>
    </w:p>
    <w:p w14:paraId="54C3C344" w14:textId="77777777" w:rsidR="00CE0D36" w:rsidRDefault="00CE0D36">
      <w:pPr>
        <w:spacing w:before="55" w:after="55"/>
      </w:pPr>
    </w:p>
    <w:p w14:paraId="7526E92F" w14:textId="77777777" w:rsidR="00CE0D36" w:rsidRDefault="00000000">
      <w:pPr>
        <w:pStyle w:val="ListParagraph"/>
        <w:numPr>
          <w:ilvl w:val="0"/>
          <w:numId w:val="1"/>
        </w:numPr>
        <w:spacing w:before="100" w:after="100"/>
        <w:jc w:val="both"/>
      </w:pPr>
      <w:r>
        <w:rPr>
          <w:b/>
          <w:bCs/>
        </w:rPr>
        <w:t xml:space="preserve">Billing auditability warranty: </w:t>
      </w:r>
      <w:r>
        <w:t>Written warranty that billing generated from any installed device will be independently auditable at my request and at no cost to me, with a written description of the audit process and my rights in the event of a billing dispute.</w:t>
      </w:r>
    </w:p>
    <w:p w14:paraId="70CC95F9" w14:textId="77777777" w:rsidR="00CE0D36" w:rsidRDefault="00CE0D36">
      <w:pPr>
        <w:spacing w:before="55" w:after="55"/>
      </w:pPr>
    </w:p>
    <w:p w14:paraId="73A272DB" w14:textId="77777777" w:rsidR="00CE0D36" w:rsidRDefault="00000000">
      <w:pPr>
        <w:pStyle w:val="ListParagraph"/>
        <w:numPr>
          <w:ilvl w:val="0"/>
          <w:numId w:val="1"/>
        </w:numPr>
        <w:spacing w:before="100" w:after="100"/>
        <w:jc w:val="both"/>
      </w:pPr>
      <w:r>
        <w:rPr>
          <w:b/>
          <w:bCs/>
        </w:rPr>
        <w:t xml:space="preserve">Metering coordinator instruction: </w:t>
      </w:r>
      <w:r>
        <w:t xml:space="preserve">Written confirmation that </w:t>
      </w:r>
      <w:r>
        <w:rPr>
          <w:i/>
          <w:iCs/>
        </w:rPr>
        <w:t>[insert metering coordinator name, e.g. "PLUS ES", "</w:t>
      </w:r>
      <w:proofErr w:type="spellStart"/>
      <w:r>
        <w:rPr>
          <w:i/>
          <w:iCs/>
        </w:rPr>
        <w:t>Intellihub</w:t>
      </w:r>
      <w:proofErr w:type="spellEnd"/>
      <w:r>
        <w:rPr>
          <w:i/>
          <w:iCs/>
        </w:rPr>
        <w:t>"]</w:t>
      </w:r>
      <w:r>
        <w:t xml:space="preserve"> has been specifically instructed in writing to install a Type 4A non-communicating device only and to attend with that specific device. Written confirmation of the instruction issued and the coordinator's receipt of it.</w:t>
      </w:r>
    </w:p>
    <w:p w14:paraId="3A1D3013" w14:textId="77777777" w:rsidR="00CE0D36" w:rsidRDefault="00CE0D36">
      <w:pPr>
        <w:spacing w:before="55" w:after="55"/>
      </w:pPr>
    </w:p>
    <w:p w14:paraId="0CCA0DC4" w14:textId="77777777" w:rsidR="00CE0D36" w:rsidRDefault="00000000">
      <w:pPr>
        <w:pStyle w:val="ListParagraph"/>
        <w:numPr>
          <w:ilvl w:val="0"/>
          <w:numId w:val="1"/>
        </w:numPr>
        <w:spacing w:before="100" w:after="100"/>
        <w:jc w:val="both"/>
      </w:pPr>
      <w:r>
        <w:rPr>
          <w:b/>
          <w:bCs/>
        </w:rPr>
        <w:t xml:space="preserve">Response to formal objection notice: </w:t>
      </w:r>
      <w:r>
        <w:t xml:space="preserve">Written answers to each of the specific questions and requirements set out in the Formal Objection and Default Notice served on your organisation on </w:t>
      </w:r>
      <w:r>
        <w:rPr>
          <w:i/>
          <w:iCs/>
        </w:rPr>
        <w:t>[insert date of your Formal Objection Notice]</w:t>
      </w:r>
      <w:r>
        <w:t>. Those questions remain open and unresolved; they must be answered before any variation to the contract is accepted.</w:t>
      </w:r>
    </w:p>
    <w:p w14:paraId="3E7EC8E8" w14:textId="77777777" w:rsidR="00CE0D36" w:rsidRDefault="00CE0D36">
      <w:pPr>
        <w:spacing w:before="55" w:after="55"/>
      </w:pPr>
    </w:p>
    <w:tbl>
      <w:tblPr>
        <w:tblW w:w="9026" w:type="dxa"/>
        <w:tblInd w:w="1" w:type="dxa"/>
        <w:tblLayout w:type="fixed"/>
        <w:tblCellMar>
          <w:top w:w="120" w:type="dxa"/>
          <w:left w:w="200" w:type="dxa"/>
          <w:bottom w:w="120" w:type="dxa"/>
          <w:right w:w="200" w:type="dxa"/>
        </w:tblCellMar>
        <w:tblLook w:val="0000" w:firstRow="0" w:lastRow="0" w:firstColumn="0" w:lastColumn="0" w:noHBand="0" w:noVBand="0"/>
      </w:tblPr>
      <w:tblGrid>
        <w:gridCol w:w="9026"/>
      </w:tblGrid>
      <w:tr w:rsidR="00CE0D36" w14:paraId="1A582D94" w14:textId="77777777">
        <w:tc>
          <w:tcPr>
            <w:tcW w:w="9026" w:type="dxa"/>
            <w:tcBorders>
              <w:top w:val="single" w:sz="4" w:space="0" w:color="3B82F6"/>
              <w:left w:val="single" w:sz="14" w:space="0" w:color="3B82F6"/>
              <w:bottom w:val="single" w:sz="4" w:space="0" w:color="3B82F6"/>
              <w:right w:val="single" w:sz="4" w:space="0" w:color="3B82F6"/>
            </w:tcBorders>
            <w:shd w:val="clear" w:color="auto" w:fill="E8F0FE"/>
          </w:tcPr>
          <w:p w14:paraId="20EE48AC" w14:textId="77777777" w:rsidR="00CE0D36" w:rsidRDefault="00000000">
            <w:pPr>
              <w:spacing w:before="60" w:after="60"/>
            </w:pPr>
            <w:r>
              <w:rPr>
                <w:b/>
                <w:bCs/>
                <w:color w:val="1D4E8F"/>
              </w:rPr>
              <w:t>ℹ️  SOLAR, BATTERY, OR COMPLEX SUPPLY ARRANGEMENTS</w:t>
            </w:r>
          </w:p>
          <w:p w14:paraId="7066A089" w14:textId="77777777" w:rsidR="00CE0D36" w:rsidRDefault="00000000">
            <w:pPr>
              <w:spacing w:before="50" w:after="50"/>
            </w:pPr>
            <w:r>
              <w:rPr>
                <w:sz w:val="20"/>
                <w:szCs w:val="20"/>
              </w:rPr>
              <w:t>If your premises has solar PV, battery storage, or other generation or storage equipment, add the following to Condition 1:</w:t>
            </w:r>
          </w:p>
          <w:p w14:paraId="2C298E7F" w14:textId="77777777" w:rsidR="00CE0D36" w:rsidRDefault="00CE0D36">
            <w:pPr>
              <w:spacing w:before="50" w:after="50"/>
            </w:pPr>
          </w:p>
          <w:p w14:paraId="514C792D" w14:textId="77777777" w:rsidR="00CE0D36" w:rsidRDefault="00000000">
            <w:pPr>
              <w:spacing w:before="50" w:after="50"/>
            </w:pPr>
            <w:r>
              <w:rPr>
                <w:sz w:val="20"/>
                <w:szCs w:val="20"/>
              </w:rPr>
              <w:t>"Written confirmation that the installed Type 4A device is compatible with my [X kW] solar PV system and [describe storage] and that its installation will not interfere with, curtail, or remotely control my generation or storage equipment in any way."</w:t>
            </w:r>
          </w:p>
          <w:p w14:paraId="7DD1816B" w14:textId="77777777" w:rsidR="00CE0D36" w:rsidRDefault="00CE0D36">
            <w:pPr>
              <w:spacing w:before="50" w:after="50"/>
            </w:pPr>
          </w:p>
          <w:p w14:paraId="695EF069" w14:textId="77777777" w:rsidR="00CE0D36" w:rsidRDefault="00000000">
            <w:pPr>
              <w:spacing w:before="50" w:after="50"/>
            </w:pPr>
            <w:r>
              <w:rPr>
                <w:sz w:val="20"/>
                <w:szCs w:val="20"/>
              </w:rPr>
              <w:t>If you are actively evaluating off-grid NMI abolishment, add as Condition 11:</w:t>
            </w:r>
          </w:p>
          <w:p w14:paraId="7A39E6CD" w14:textId="77777777" w:rsidR="00CE0D36" w:rsidRDefault="00000000">
            <w:pPr>
              <w:spacing w:before="50" w:after="50"/>
            </w:pPr>
            <w:r>
              <w:rPr>
                <w:sz w:val="20"/>
                <w:szCs w:val="20"/>
              </w:rPr>
              <w:t>"Confirmation that if I elect to proceed with NMI abolishment prior to any installation date, your organisation accepts that this permanently removes this premises from the metering mandate and no further installation will be sought."</w:t>
            </w:r>
          </w:p>
        </w:tc>
      </w:tr>
    </w:tbl>
    <w:p w14:paraId="43D937D8" w14:textId="77777777" w:rsidR="00CE0D36" w:rsidRDefault="00CE0D36">
      <w:pPr>
        <w:spacing w:before="55" w:after="55"/>
      </w:pPr>
    </w:p>
    <w:p w14:paraId="7F403255" w14:textId="77777777" w:rsidR="00CE0D36" w:rsidRDefault="00000000">
      <w:pPr>
        <w:pStyle w:val="Heading1"/>
      </w:pPr>
      <w:r>
        <w:t>Part 4: Consequences of Non-Fulfilment</w:t>
      </w:r>
    </w:p>
    <w:p w14:paraId="5CD7D10D" w14:textId="77777777" w:rsidR="00CE0D36" w:rsidRDefault="00000000">
      <w:pPr>
        <w:spacing w:before="110" w:after="110"/>
        <w:jc w:val="both"/>
      </w:pPr>
      <w:r>
        <w:t>If all conditions above are not satisfied in writing, signed by an authorised officer of your organisation, prior to any installation date, the following applies:</w:t>
      </w:r>
    </w:p>
    <w:p w14:paraId="5E7BC865" w14:textId="77777777" w:rsidR="00CE0D36" w:rsidRDefault="00CE0D36">
      <w:pPr>
        <w:spacing w:before="55" w:after="55"/>
      </w:pPr>
    </w:p>
    <w:p w14:paraId="4DC3C161" w14:textId="77777777" w:rsidR="00CE0D36" w:rsidRDefault="00000000">
      <w:pPr>
        <w:pStyle w:val="ListParagraph"/>
        <w:numPr>
          <w:ilvl w:val="0"/>
          <w:numId w:val="5"/>
        </w:numPr>
        <w:spacing w:before="75" w:after="75"/>
        <w:jc w:val="both"/>
      </w:pPr>
      <w:r>
        <w:t>No acceptance of the proposed contractual variation has occurred. The original contract terms remain operative.</w:t>
      </w:r>
    </w:p>
    <w:p w14:paraId="69DE7549" w14:textId="77777777" w:rsidR="00CE0D36" w:rsidRDefault="00000000">
      <w:pPr>
        <w:pStyle w:val="ListParagraph"/>
        <w:numPr>
          <w:ilvl w:val="0"/>
          <w:numId w:val="2"/>
        </w:numPr>
        <w:spacing w:before="75" w:after="75"/>
        <w:jc w:val="both"/>
      </w:pPr>
      <w:r>
        <w:t>No installation of any metering device at this premises is authorised.</w:t>
      </w:r>
    </w:p>
    <w:p w14:paraId="16466390" w14:textId="77777777" w:rsidR="00CE0D36" w:rsidRDefault="00000000">
      <w:pPr>
        <w:pStyle w:val="ListParagraph"/>
        <w:numPr>
          <w:ilvl w:val="0"/>
          <w:numId w:val="2"/>
        </w:numPr>
        <w:spacing w:before="75" w:after="75"/>
        <w:jc w:val="both"/>
      </w:pPr>
      <w:r>
        <w:t>Any installation that proceeds in the absence of full satisfaction of these conditions will be treated as an unlawful installation: a breach of contract, an unauthorised interference with the customer's property, and a potential trespass.</w:t>
      </w:r>
    </w:p>
    <w:p w14:paraId="25665053" w14:textId="77777777" w:rsidR="00CE0D36" w:rsidRDefault="00000000">
      <w:pPr>
        <w:pStyle w:val="ListParagraph"/>
        <w:numPr>
          <w:ilvl w:val="0"/>
          <w:numId w:val="2"/>
        </w:numPr>
        <w:spacing w:before="75" w:after="75"/>
        <w:jc w:val="both"/>
      </w:pPr>
      <w:r>
        <w:t>The existing pre-2013 meter continues to operate under its permanent Regulation 5.6 exemption and must not be disturbed.</w:t>
      </w:r>
    </w:p>
    <w:p w14:paraId="61243ECA" w14:textId="77777777" w:rsidR="00CE0D36" w:rsidRDefault="00000000">
      <w:pPr>
        <w:pStyle w:val="ListParagraph"/>
        <w:numPr>
          <w:ilvl w:val="0"/>
          <w:numId w:val="2"/>
        </w:numPr>
        <w:spacing w:before="75" w:after="75"/>
        <w:jc w:val="both"/>
      </w:pPr>
      <w:r>
        <w:t>All remedies available to me, including those identified in the Formal Objection and Default Notice served simultaneously with this instrument, remain fully operative.</w:t>
      </w:r>
    </w:p>
    <w:p w14:paraId="4689C5E4" w14:textId="77777777" w:rsidR="00CE0D36" w:rsidRDefault="00CE0D36">
      <w:pPr>
        <w:spacing w:before="55" w:after="55"/>
      </w:pPr>
    </w:p>
    <w:p w14:paraId="2E7994FF" w14:textId="77777777" w:rsidR="00CE0D36" w:rsidRDefault="00000000">
      <w:pPr>
        <w:spacing w:before="110" w:after="110"/>
        <w:jc w:val="both"/>
      </w:pPr>
      <w:r>
        <w:t>Partial satisfaction of these conditions is not satisfaction. An attempt to negotiate the conditions, substitute alternative undertakings, or assert that certain conditions cannot be met, does not constitute satisfaction: it constitutes a counter-offer, which I may accept or decline at my election.</w:t>
      </w:r>
    </w:p>
    <w:p w14:paraId="0955B3F6" w14:textId="77777777" w:rsidR="00CE0D36" w:rsidRDefault="00CE0D36">
      <w:pPr>
        <w:spacing w:before="55" w:after="55"/>
      </w:pPr>
    </w:p>
    <w:tbl>
      <w:tblPr>
        <w:tblW w:w="9026" w:type="dxa"/>
        <w:tblInd w:w="1" w:type="dxa"/>
        <w:tblLayout w:type="fixed"/>
        <w:tblCellMar>
          <w:top w:w="120" w:type="dxa"/>
          <w:left w:w="200" w:type="dxa"/>
          <w:bottom w:w="120" w:type="dxa"/>
          <w:right w:w="200" w:type="dxa"/>
        </w:tblCellMar>
        <w:tblLook w:val="0000" w:firstRow="0" w:lastRow="0" w:firstColumn="0" w:lastColumn="0" w:noHBand="0" w:noVBand="0"/>
      </w:tblPr>
      <w:tblGrid>
        <w:gridCol w:w="9026"/>
      </w:tblGrid>
      <w:tr w:rsidR="00CE0D36" w14:paraId="2791B932" w14:textId="77777777">
        <w:tc>
          <w:tcPr>
            <w:tcW w:w="9026" w:type="dxa"/>
            <w:tcBorders>
              <w:top w:val="single" w:sz="4" w:space="0" w:color="DC2626"/>
              <w:left w:val="single" w:sz="14" w:space="0" w:color="DC2626"/>
              <w:bottom w:val="single" w:sz="4" w:space="0" w:color="DC2626"/>
              <w:right w:val="single" w:sz="4" w:space="0" w:color="DC2626"/>
            </w:tcBorders>
            <w:shd w:val="clear" w:color="auto" w:fill="FEE2E2"/>
          </w:tcPr>
          <w:p w14:paraId="37E5961F" w14:textId="77777777" w:rsidR="00CE0D36" w:rsidRDefault="00000000">
            <w:pPr>
              <w:spacing w:before="60" w:after="60"/>
            </w:pPr>
            <w:r>
              <w:rPr>
                <w:b/>
                <w:bCs/>
                <w:color w:val="7F1D1D"/>
              </w:rPr>
              <w:t>⚠️  AUTOMATIC DEFAULT FROM FORMAL OBJECTION NOTICE</w:t>
            </w:r>
          </w:p>
          <w:p w14:paraId="7DBCEE1D" w14:textId="77777777" w:rsidR="00CE0D36" w:rsidRDefault="00000000">
            <w:pPr>
              <w:spacing w:before="50" w:after="50"/>
            </w:pPr>
            <w:r>
              <w:rPr>
                <w:sz w:val="20"/>
                <w:szCs w:val="20"/>
              </w:rPr>
              <w:t>If you have also served the Formal Objection and Default Notice, that instrument's automatic default conditions are already operative from day six after confirmed receipt.</w:t>
            </w:r>
          </w:p>
          <w:p w14:paraId="5407B9FB" w14:textId="77777777" w:rsidR="00CE0D36" w:rsidRDefault="00CE0D36">
            <w:pPr>
              <w:spacing w:before="50" w:after="50"/>
            </w:pPr>
          </w:p>
          <w:p w14:paraId="4776BE4E" w14:textId="77777777" w:rsidR="00CE0D36" w:rsidRDefault="00000000">
            <w:pPr>
              <w:spacing w:before="50" w:after="50"/>
            </w:pPr>
            <w:r>
              <w:rPr>
                <w:sz w:val="20"/>
                <w:szCs w:val="20"/>
              </w:rPr>
              <w:lastRenderedPageBreak/>
              <w:t>This CAN operates in addition to those default conditions, not instead of them. If the retailer fails to satisfy the conditions in this CAN, both instruments stand: the formal objection default closes the regulatory track; this CAN documents the failure of the contractual variation track.</w:t>
            </w:r>
          </w:p>
          <w:p w14:paraId="316F944C" w14:textId="77777777" w:rsidR="00CE0D36" w:rsidRDefault="00CE0D36">
            <w:pPr>
              <w:spacing w:before="50" w:after="50"/>
            </w:pPr>
          </w:p>
          <w:p w14:paraId="2098F8E9" w14:textId="77777777" w:rsidR="00CE0D36" w:rsidRDefault="00000000">
            <w:pPr>
              <w:spacing w:before="50" w:after="50"/>
            </w:pPr>
            <w:r>
              <w:rPr>
                <w:sz w:val="20"/>
                <w:szCs w:val="20"/>
              </w:rPr>
              <w:t>The combined record means that any subsequent installation attempt takes place against a documented background of: (1) a formal objection on twelve grounds, defaulted by omission; and (2) a conditional acceptance of the contractual variation, with conditions unmet and unaccepted.</w:t>
            </w:r>
          </w:p>
        </w:tc>
      </w:tr>
    </w:tbl>
    <w:p w14:paraId="1C7A6FA2" w14:textId="77777777" w:rsidR="00CE0D36" w:rsidRDefault="00CE0D36">
      <w:pPr>
        <w:spacing w:before="55" w:after="55"/>
      </w:pPr>
    </w:p>
    <w:p w14:paraId="201963BC" w14:textId="77777777" w:rsidR="00CE0D36" w:rsidRDefault="00000000">
      <w:pPr>
        <w:pStyle w:val="Heading1"/>
      </w:pPr>
      <w:r>
        <w:t>Part 5: Reservation of Rights</w:t>
      </w:r>
    </w:p>
    <w:p w14:paraId="0913DA86" w14:textId="77777777" w:rsidR="00CE0D36" w:rsidRDefault="00000000">
      <w:pPr>
        <w:spacing w:before="110" w:after="110"/>
        <w:jc w:val="both"/>
      </w:pPr>
      <w:r>
        <w:t>Nothing in this Conditional Acceptance Notice constitutes a waiver of any right, claim, or remedy available to me, whether in contract, negligence, trespass, nuisance, under the Disability Discrimination Act 1992 (</w:t>
      </w:r>
      <w:proofErr w:type="spellStart"/>
      <w:r>
        <w:t>Cth</w:t>
      </w:r>
      <w:proofErr w:type="spellEnd"/>
      <w:r>
        <w:t>), under applicable Criminal Code provisions, under the National Measurement Act 1960 (</w:t>
      </w:r>
      <w:proofErr w:type="spellStart"/>
      <w:r>
        <w:t>Cth</w:t>
      </w:r>
      <w:proofErr w:type="spellEnd"/>
      <w:r>
        <w:t>), under the Acts Interpretation Act 1901 (</w:t>
      </w:r>
      <w:proofErr w:type="spellStart"/>
      <w:r>
        <w:t>Cth</w:t>
      </w:r>
      <w:proofErr w:type="spellEnd"/>
      <w:r>
        <w:t>), under the Australian Constitution, or otherwise.</w:t>
      </w:r>
    </w:p>
    <w:p w14:paraId="59B2F522" w14:textId="77777777" w:rsidR="00CE0D36" w:rsidRDefault="00CE0D36">
      <w:pPr>
        <w:spacing w:before="55" w:after="55"/>
      </w:pPr>
    </w:p>
    <w:p w14:paraId="41730ADE" w14:textId="77777777" w:rsidR="00CE0D36" w:rsidRDefault="00000000">
      <w:pPr>
        <w:spacing w:before="110" w:after="110"/>
        <w:jc w:val="both"/>
      </w:pPr>
      <w:r>
        <w:t>This notice is served without prejudice to the Formal Objection and Default Notice served simultaneously with this instrument, and to any default by omission notice that may follow from it.</w:t>
      </w:r>
    </w:p>
    <w:p w14:paraId="7574C79A" w14:textId="77777777" w:rsidR="00CE0D36" w:rsidRDefault="00CE0D36">
      <w:pPr>
        <w:spacing w:before="55" w:after="55"/>
      </w:pPr>
    </w:p>
    <w:p w14:paraId="1C1A60CC" w14:textId="77777777" w:rsidR="00CE0D36" w:rsidRDefault="00000000">
      <w:pPr>
        <w:spacing w:before="110" w:after="110"/>
        <w:jc w:val="both"/>
      </w:pPr>
      <w:r>
        <w:t>This notice is a legal instrument served in good faith. It is not served as an act of aggression: it is a precise statement of the terms on which the proposed contractual variation could, in principle, be accepted. Those terms reflect what any reasonable person with full knowledge of the risks, rights, and legal landscape would require before consenting to a material alteration of infrastructure on their own property. If your organisation can satisfy them, the matter resolves simply. If it cannot, the record of that incapacity is informative.</w:t>
      </w:r>
    </w:p>
    <w:p w14:paraId="3B0043B5" w14:textId="77777777" w:rsidR="00CE0D36" w:rsidRDefault="00CE0D36">
      <w:pPr>
        <w:spacing w:before="55" w:after="55"/>
      </w:pPr>
    </w:p>
    <w:p w14:paraId="1432492E" w14:textId="77777777" w:rsidR="00CE0D36" w:rsidRDefault="00000000">
      <w:pPr>
        <w:spacing w:before="110" w:after="110"/>
        <w:jc w:val="both"/>
      </w:pPr>
      <w:r>
        <w:t xml:space="preserve">Served this </w:t>
      </w:r>
      <w:r>
        <w:rPr>
          <w:i/>
          <w:iCs/>
        </w:rPr>
        <w:t>[date]</w:t>
      </w:r>
      <w:r>
        <w:t>.</w:t>
      </w:r>
    </w:p>
    <w:p w14:paraId="682E15B1" w14:textId="77777777" w:rsidR="00CE0D36" w:rsidRDefault="00CE0D36">
      <w:pPr>
        <w:spacing w:before="55" w:after="55"/>
      </w:pPr>
    </w:p>
    <w:p w14:paraId="4B03190B" w14:textId="77777777" w:rsidR="00CE0D36" w:rsidRDefault="00CE0D36">
      <w:pPr>
        <w:spacing w:before="55" w:after="55"/>
      </w:pPr>
    </w:p>
    <w:p w14:paraId="50E48A7F" w14:textId="77777777" w:rsidR="00CE0D36" w:rsidRDefault="00000000">
      <w:pPr>
        <w:spacing w:before="110" w:after="110"/>
        <w:jc w:val="both"/>
      </w:pPr>
      <w:r>
        <w:t>Yours faithfully,</w:t>
      </w:r>
    </w:p>
    <w:p w14:paraId="6AA1F942" w14:textId="77777777" w:rsidR="00CE0D36" w:rsidRDefault="00CE0D36">
      <w:pPr>
        <w:spacing w:before="55" w:after="55"/>
      </w:pPr>
    </w:p>
    <w:p w14:paraId="62E451FC" w14:textId="77777777" w:rsidR="00CE0D36" w:rsidRDefault="00CE0D36">
      <w:pPr>
        <w:spacing w:before="55" w:after="55"/>
      </w:pPr>
    </w:p>
    <w:tbl>
      <w:tblPr>
        <w:tblW w:w="9026" w:type="dxa"/>
        <w:tblInd w:w="1" w:type="dxa"/>
        <w:tblLayout w:type="fixed"/>
        <w:tblCellMar>
          <w:top w:w="120" w:type="dxa"/>
          <w:left w:w="200" w:type="dxa"/>
          <w:bottom w:w="120" w:type="dxa"/>
          <w:right w:w="200" w:type="dxa"/>
        </w:tblCellMar>
        <w:tblLook w:val="0000" w:firstRow="0" w:lastRow="0" w:firstColumn="0" w:lastColumn="0" w:noHBand="0" w:noVBand="0"/>
      </w:tblPr>
      <w:tblGrid>
        <w:gridCol w:w="9026"/>
      </w:tblGrid>
      <w:tr w:rsidR="00CE0D36" w14:paraId="2F719F77" w14:textId="77777777">
        <w:tc>
          <w:tcPr>
            <w:tcW w:w="9026" w:type="dxa"/>
            <w:tcBorders>
              <w:top w:val="single" w:sz="4" w:space="0" w:color="F59E0B"/>
              <w:left w:val="single" w:sz="14" w:space="0" w:color="F59E0B"/>
              <w:bottom w:val="single" w:sz="4" w:space="0" w:color="F59E0B"/>
              <w:right w:val="single" w:sz="4" w:space="0" w:color="F59E0B"/>
            </w:tcBorders>
            <w:shd w:val="clear" w:color="auto" w:fill="FFF3CD"/>
          </w:tcPr>
          <w:p w14:paraId="6C2A17CC" w14:textId="77777777" w:rsidR="00CE0D36" w:rsidRDefault="00000000">
            <w:pPr>
              <w:spacing w:before="60" w:after="60"/>
            </w:pPr>
            <w:r>
              <w:rPr>
                <w:b/>
                <w:bCs/>
                <w:color w:val="7B4F00"/>
              </w:rPr>
              <w:t>✎  COMPLETE THIS SECTION</w:t>
            </w:r>
          </w:p>
          <w:p w14:paraId="25DFD27D" w14:textId="77777777" w:rsidR="00CE0D36" w:rsidRDefault="00000000">
            <w:pPr>
              <w:spacing w:before="50" w:after="50"/>
            </w:pPr>
            <w:r>
              <w:rPr>
                <w:sz w:val="20"/>
                <w:szCs w:val="20"/>
              </w:rPr>
              <w:t>Your full legal name (bold)</w:t>
            </w:r>
          </w:p>
          <w:p w14:paraId="169AD61C" w14:textId="77777777" w:rsidR="00CE0D36" w:rsidRDefault="00000000">
            <w:pPr>
              <w:spacing w:before="50" w:after="50"/>
            </w:pPr>
            <w:r>
              <w:rPr>
                <w:sz w:val="20"/>
                <w:szCs w:val="20"/>
              </w:rPr>
              <w:t>Your address</w:t>
            </w:r>
          </w:p>
          <w:p w14:paraId="4D14BBB3" w14:textId="77777777" w:rsidR="00CE0D36" w:rsidRDefault="00000000">
            <w:pPr>
              <w:spacing w:before="50" w:after="50"/>
            </w:pPr>
            <w:r>
              <w:rPr>
                <w:sz w:val="20"/>
                <w:szCs w:val="20"/>
              </w:rPr>
              <w:t>ALL RIGHTS RESERVED WITHOUT PREJUDICE</w:t>
            </w:r>
          </w:p>
        </w:tc>
      </w:tr>
    </w:tbl>
    <w:p w14:paraId="34FF5F1D" w14:textId="77777777" w:rsidR="00CE0D36" w:rsidRDefault="00CE0D36">
      <w:pPr>
        <w:spacing w:before="55" w:after="55"/>
      </w:pPr>
    </w:p>
    <w:p w14:paraId="43F0AEEE" w14:textId="77777777" w:rsidR="00CE0D36" w:rsidRDefault="00000000">
      <w:pPr>
        <w:pStyle w:val="Heading1"/>
      </w:pPr>
      <w:r>
        <w:t>Statutory and Legal References</w:t>
      </w:r>
    </w:p>
    <w:p w14:paraId="0373C0AC" w14:textId="77777777" w:rsidR="00CE0D36" w:rsidRDefault="00000000">
      <w:pPr>
        <w:spacing w:before="55" w:after="35"/>
        <w:ind w:left="540" w:hanging="540"/>
      </w:pPr>
      <w:r>
        <w:rPr>
          <w:i/>
          <w:iCs/>
          <w:sz w:val="19"/>
          <w:szCs w:val="19"/>
        </w:rPr>
        <w:t>Australian Constitution s.109: inconsistency of Commonwealth and state laws; Commonwealth prevails.</w:t>
      </w:r>
    </w:p>
    <w:p w14:paraId="0AB342A8" w14:textId="77777777" w:rsidR="00CE0D36" w:rsidRDefault="00000000">
      <w:pPr>
        <w:spacing w:before="55" w:after="35"/>
        <w:ind w:left="540" w:hanging="540"/>
      </w:pPr>
      <w:r>
        <w:rPr>
          <w:i/>
          <w:iCs/>
          <w:sz w:val="19"/>
          <w:szCs w:val="19"/>
        </w:rPr>
        <w:t>National Measurement Act 1960 (</w:t>
      </w:r>
      <w:proofErr w:type="spellStart"/>
      <w:r>
        <w:rPr>
          <w:i/>
          <w:iCs/>
          <w:sz w:val="19"/>
          <w:szCs w:val="19"/>
        </w:rPr>
        <w:t>Cth</w:t>
      </w:r>
      <w:proofErr w:type="spellEnd"/>
      <w:r>
        <w:rPr>
          <w:i/>
          <w:iCs/>
          <w:sz w:val="19"/>
          <w:szCs w:val="19"/>
        </w:rPr>
        <w:t>), section 4A: requirements for pattern approval and verification of measuring instruments used for trade.</w:t>
      </w:r>
    </w:p>
    <w:p w14:paraId="1A10D50A" w14:textId="77777777" w:rsidR="00CE0D36" w:rsidRDefault="00000000">
      <w:pPr>
        <w:spacing w:before="55" w:after="35"/>
        <w:ind w:left="540" w:hanging="540"/>
      </w:pPr>
      <w:r>
        <w:rPr>
          <w:i/>
          <w:iCs/>
          <w:sz w:val="19"/>
          <w:szCs w:val="19"/>
        </w:rPr>
        <w:t>National Trade Measurement Regulations 2009 (</w:t>
      </w:r>
      <w:proofErr w:type="spellStart"/>
      <w:r>
        <w:rPr>
          <w:i/>
          <w:iCs/>
          <w:sz w:val="19"/>
          <w:szCs w:val="19"/>
        </w:rPr>
        <w:t>Cth</w:t>
      </w:r>
      <w:proofErr w:type="spellEnd"/>
      <w:r>
        <w:rPr>
          <w:i/>
          <w:iCs/>
          <w:sz w:val="19"/>
          <w:szCs w:val="19"/>
        </w:rPr>
        <w:t>), Regulation 5.6: Exempt utility meters; electricity meters installed before 1 January 2013 exempted from s.4A NMA 1960.</w:t>
      </w:r>
    </w:p>
    <w:p w14:paraId="12C9A858" w14:textId="77777777" w:rsidR="00CE0D36" w:rsidRDefault="00000000">
      <w:pPr>
        <w:spacing w:before="55" w:after="35"/>
        <w:ind w:left="540" w:hanging="540"/>
      </w:pPr>
      <w:r>
        <w:rPr>
          <w:i/>
          <w:iCs/>
          <w:sz w:val="19"/>
          <w:szCs w:val="19"/>
        </w:rPr>
        <w:lastRenderedPageBreak/>
        <w:t>Acts Interpretation Act 1901 (</w:t>
      </w:r>
      <w:proofErr w:type="spellStart"/>
      <w:r>
        <w:rPr>
          <w:i/>
          <w:iCs/>
          <w:sz w:val="19"/>
          <w:szCs w:val="19"/>
        </w:rPr>
        <w:t>Cth</w:t>
      </w:r>
      <w:proofErr w:type="spellEnd"/>
      <w:r>
        <w:rPr>
          <w:i/>
          <w:iCs/>
          <w:sz w:val="19"/>
          <w:szCs w:val="19"/>
        </w:rPr>
        <w:t>), section 46: accrued rights under legislative instruments survive amendment or repeal unless contrary intention expressly appears.</w:t>
      </w:r>
    </w:p>
    <w:p w14:paraId="5D4BE4ED" w14:textId="77777777" w:rsidR="00CE0D36" w:rsidRDefault="00000000">
      <w:pPr>
        <w:spacing w:before="55" w:after="35"/>
        <w:ind w:left="540" w:hanging="540"/>
      </w:pPr>
      <w:r>
        <w:rPr>
          <w:i/>
          <w:iCs/>
          <w:sz w:val="19"/>
          <w:szCs w:val="19"/>
        </w:rPr>
        <w:t>AEMO, Guideline for Clarification of the National Measurement Act, v1.3: confirms the Reg 5.6 exemption and its permanent application to pre-2013 meters.</w:t>
      </w:r>
    </w:p>
    <w:p w14:paraId="439A3156" w14:textId="77777777" w:rsidR="00CE0D36" w:rsidRDefault="00000000">
      <w:pPr>
        <w:spacing w:before="55" w:after="35"/>
        <w:ind w:left="540" w:hanging="540"/>
      </w:pPr>
      <w:r>
        <w:rPr>
          <w:i/>
          <w:iCs/>
          <w:sz w:val="19"/>
          <w:szCs w:val="19"/>
        </w:rPr>
        <w:t>Australian Energy Market Commission, Accelerating Smart Meter Deployment: Final Determination, 28 November 2024.</w:t>
      </w:r>
    </w:p>
    <w:p w14:paraId="0D6396E6" w14:textId="77777777" w:rsidR="00CE0D36" w:rsidRDefault="00000000">
      <w:pPr>
        <w:spacing w:before="55" w:after="35"/>
        <w:ind w:left="540" w:hanging="540"/>
      </w:pPr>
      <w:r>
        <w:rPr>
          <w:i/>
          <w:iCs/>
          <w:sz w:val="19"/>
          <w:szCs w:val="19"/>
        </w:rPr>
        <w:t>Australian Energy Regulator, Guidance to Retailers: Right to refuse Type 4 meters, 2025. Available at: https://www.aer.gov.au/consumers/smart-meter-rollout</w:t>
      </w:r>
    </w:p>
    <w:p w14:paraId="40A0A330" w14:textId="77777777" w:rsidR="00CE0D36" w:rsidRDefault="00000000">
      <w:pPr>
        <w:spacing w:before="55" w:after="35"/>
        <w:ind w:left="540" w:hanging="540"/>
      </w:pPr>
      <w:r>
        <w:rPr>
          <w:i/>
          <w:iCs/>
          <w:sz w:val="19"/>
          <w:szCs w:val="19"/>
        </w:rPr>
        <w:t>CFC Underwriting (Lloyd's of London), Standard Exclusion 32: electromagnetic fields.</w:t>
      </w:r>
    </w:p>
    <w:p w14:paraId="6DA133AA" w14:textId="77777777" w:rsidR="00CE0D36" w:rsidRDefault="00000000">
      <w:pPr>
        <w:spacing w:before="55" w:after="35"/>
        <w:ind w:left="540" w:hanging="540"/>
      </w:pPr>
      <w:r>
        <w:rPr>
          <w:i/>
          <w:iCs/>
          <w:sz w:val="19"/>
          <w:szCs w:val="19"/>
        </w:rPr>
        <w:t>National Electricity (South Australia) Act 1996: legislative basis for AEMC rule-making in the National Electricity Market.</w:t>
      </w:r>
    </w:p>
    <w:sectPr w:rsidR="00CE0D36">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0"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F46B8" w14:textId="77777777" w:rsidR="001A3A51" w:rsidRDefault="001A3A51" w:rsidP="00D35210">
      <w:r>
        <w:separator/>
      </w:r>
    </w:p>
  </w:endnote>
  <w:endnote w:type="continuationSeparator" w:id="0">
    <w:p w14:paraId="3D8F7635" w14:textId="77777777" w:rsidR="001A3A51" w:rsidRDefault="001A3A51" w:rsidP="00D352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FreeSans">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13700" w14:textId="77777777" w:rsidR="002E2992" w:rsidRDefault="002E29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4713665"/>
      <w:docPartObj>
        <w:docPartGallery w:val="Page Numbers (Bottom of Page)"/>
        <w:docPartUnique/>
      </w:docPartObj>
    </w:sdtPr>
    <w:sdtEndPr>
      <w:rPr>
        <w:noProof/>
      </w:rPr>
    </w:sdtEndPr>
    <w:sdtContent>
      <w:p w14:paraId="5B78B5DA" w14:textId="5EA34E03" w:rsidR="002E2992" w:rsidRDefault="002E299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D825AF" w14:textId="77777777" w:rsidR="002E2992" w:rsidRDefault="002E299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0E90C" w14:textId="77777777" w:rsidR="002E2992" w:rsidRDefault="002E29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40FC0" w14:textId="77777777" w:rsidR="001A3A51" w:rsidRDefault="001A3A51" w:rsidP="00D35210">
      <w:r>
        <w:separator/>
      </w:r>
    </w:p>
  </w:footnote>
  <w:footnote w:type="continuationSeparator" w:id="0">
    <w:p w14:paraId="156DF78C" w14:textId="77777777" w:rsidR="001A3A51" w:rsidRDefault="001A3A51" w:rsidP="00D352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36DCF" w14:textId="77777777" w:rsidR="002E2992" w:rsidRDefault="002E29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5DCE5" w14:textId="77777777" w:rsidR="002E2992" w:rsidRDefault="002E29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A7AA8" w14:textId="77777777" w:rsidR="002E2992" w:rsidRDefault="002E29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1C58B6"/>
    <w:multiLevelType w:val="multilevel"/>
    <w:tmpl w:val="1956572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66256EDE"/>
    <w:multiLevelType w:val="multilevel"/>
    <w:tmpl w:val="0D6C3BC6"/>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6E12032F"/>
    <w:multiLevelType w:val="multilevel"/>
    <w:tmpl w:val="C58AD27E"/>
    <w:lvl w:ilvl="0">
      <w:start w:val="1"/>
      <w:numFmt w:val="bullet"/>
      <w:lvlText w:val=""/>
      <w:lvlJc w:val="left"/>
      <w:pPr>
        <w:tabs>
          <w:tab w:val="num" w:pos="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344089885">
    <w:abstractNumId w:val="1"/>
  </w:num>
  <w:num w:numId="2" w16cid:durableId="1341272559">
    <w:abstractNumId w:val="2"/>
  </w:num>
  <w:num w:numId="3" w16cid:durableId="1394616219">
    <w:abstractNumId w:val="0"/>
  </w:num>
  <w:num w:numId="4" w16cid:durableId="304510745">
    <w:abstractNumId w:val="1"/>
    <w:lvlOverride w:ilvl="0">
      <w:startOverride w:val="1"/>
    </w:lvlOverride>
  </w:num>
  <w:num w:numId="5" w16cid:durableId="10184401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E0D36"/>
    <w:rsid w:val="001A3A51"/>
    <w:rsid w:val="002E2992"/>
    <w:rsid w:val="003D0992"/>
    <w:rsid w:val="00834A77"/>
    <w:rsid w:val="00B373CD"/>
    <w:rsid w:val="00C958F3"/>
    <w:rsid w:val="00CE0D36"/>
    <w:rsid w:val="00D35210"/>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C85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AU"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
    <w:uiPriority w:val="9"/>
    <w:qFormat/>
    <w:pPr>
      <w:spacing w:before="300" w:after="140"/>
      <w:outlineLvl w:val="0"/>
    </w:pPr>
    <w:rPr>
      <w:rFonts w:ascii="Arial" w:eastAsia="Arial" w:hAnsi="Arial" w:cs="Arial"/>
      <w:b/>
      <w:bCs/>
      <w:color w:val="1A1A1A"/>
      <w:sz w:val="24"/>
      <w:szCs w:val="24"/>
    </w:rPr>
  </w:style>
  <w:style w:type="paragraph" w:styleId="Heading2">
    <w:name w:val="heading 2"/>
    <w:basedOn w:val="Heading"/>
    <w:uiPriority w:val="9"/>
    <w:semiHidden/>
    <w:unhideWhenUsed/>
    <w:qFormat/>
    <w:pPr>
      <w:outlineLvl w:val="1"/>
    </w:pPr>
    <w:rPr>
      <w:color w:val="2E74B5"/>
      <w:sz w:val="26"/>
      <w:szCs w:val="26"/>
    </w:rPr>
  </w:style>
  <w:style w:type="paragraph" w:styleId="Heading3">
    <w:name w:val="heading 3"/>
    <w:basedOn w:val="Heading"/>
    <w:uiPriority w:val="9"/>
    <w:semiHidden/>
    <w:unhideWhenUsed/>
    <w:qFormat/>
    <w:pPr>
      <w:outlineLvl w:val="2"/>
    </w:pPr>
    <w:rPr>
      <w:color w:val="1F4D78"/>
      <w:sz w:val="24"/>
      <w:szCs w:val="24"/>
    </w:rPr>
  </w:style>
  <w:style w:type="paragraph" w:styleId="Heading4">
    <w:name w:val="heading 4"/>
    <w:basedOn w:val="Heading"/>
    <w:uiPriority w:val="9"/>
    <w:semiHidden/>
    <w:unhideWhenUsed/>
    <w:qFormat/>
    <w:pPr>
      <w:outlineLvl w:val="3"/>
    </w:pPr>
    <w:rPr>
      <w:i/>
      <w:iCs/>
      <w:color w:val="2E74B5"/>
    </w:rPr>
  </w:style>
  <w:style w:type="paragraph" w:styleId="Heading5">
    <w:name w:val="heading 5"/>
    <w:basedOn w:val="Heading"/>
    <w:uiPriority w:val="9"/>
    <w:semiHidden/>
    <w:unhideWhenUsed/>
    <w:qFormat/>
    <w:pPr>
      <w:outlineLvl w:val="4"/>
    </w:pPr>
    <w:rPr>
      <w:color w:val="2E74B5"/>
    </w:rPr>
  </w:style>
  <w:style w:type="paragraph" w:styleId="Heading6">
    <w:name w:val="heading 6"/>
    <w:basedOn w:val="Heading"/>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Pr>
      <w:color w:val="0563C1"/>
      <w:u w:val="single"/>
    </w:rPr>
  </w:style>
  <w:style w:type="character" w:customStyle="1" w:styleId="FootnoteCharacters">
    <w:name w:val="Footnote Characters"/>
    <w:uiPriority w:val="99"/>
    <w:semiHidden/>
    <w:unhideWhenUsed/>
    <w:qFormat/>
    <w:rPr>
      <w:vertAlign w:val="superscript"/>
    </w:rPr>
  </w:style>
  <w:style w:type="character" w:styleId="FootnoteReference">
    <w:name w:val="footnote reference"/>
    <w:rPr>
      <w:vertAlign w:val="superscript"/>
    </w:rPr>
  </w:style>
  <w:style w:type="character" w:customStyle="1" w:styleId="FootnoteTextChar">
    <w:name w:val="Footnote Text Char"/>
    <w:link w:val="FootnoteText"/>
    <w:uiPriority w:val="99"/>
    <w:semiHidden/>
    <w:unhideWhenUsed/>
    <w:qFormat/>
    <w:rPr>
      <w:sz w:val="20"/>
      <w:szCs w:val="20"/>
    </w:rPr>
  </w:style>
  <w:style w:type="character" w:customStyle="1" w:styleId="EndnoteCharacters">
    <w:name w:val="Endnote Characters"/>
    <w:uiPriority w:val="99"/>
    <w:semiHidden/>
    <w:unhideWhenUsed/>
    <w:qFormat/>
    <w:rPr>
      <w:vertAlign w:val="superscript"/>
    </w:rPr>
  </w:style>
  <w:style w:type="character" w:styleId="EndnoteReference">
    <w:name w:val="endnote reference"/>
    <w:rPr>
      <w:vertAlign w:val="superscript"/>
    </w:rPr>
  </w:style>
  <w:style w:type="character" w:customStyle="1" w:styleId="EndnoteTextChar">
    <w:name w:val="Endnote Text Char"/>
    <w:link w:val="EndnoteText"/>
    <w:uiPriority w:val="99"/>
    <w:semiHidden/>
    <w:unhideWhenUsed/>
    <w:qFormat/>
    <w:rPr>
      <w:sz w:val="20"/>
      <w:szCs w:val="20"/>
    </w:rPr>
  </w:style>
  <w:style w:type="paragraph" w:customStyle="1" w:styleId="Heading">
    <w:name w:val="Heading"/>
    <w:basedOn w:val="Normal"/>
    <w:next w:val="BodyText"/>
    <w:qFormat/>
    <w:pPr>
      <w:keepNext/>
      <w:spacing w:before="240" w:after="120"/>
    </w:pPr>
    <w:rPr>
      <w:rFonts w:ascii="Liberation Sans" w:eastAsia="Noto Sans CJK SC" w:hAnsi="Liberation Sans" w:cs="FreeSans"/>
      <w:sz w:val="28"/>
      <w:szCs w:val="28"/>
    </w:rPr>
  </w:style>
  <w:style w:type="paragraph" w:styleId="BodyText">
    <w:name w:val="Body Text"/>
    <w:basedOn w:val="Normal"/>
    <w:pPr>
      <w:spacing w:after="140" w:line="276"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styleId="Title">
    <w:name w:val="Title"/>
    <w:basedOn w:val="Heading"/>
    <w:uiPriority w:val="10"/>
    <w:qFormat/>
    <w:rPr>
      <w:sz w:val="56"/>
      <w:szCs w:val="56"/>
    </w:rPr>
  </w:style>
  <w:style w:type="paragraph" w:customStyle="1" w:styleId="StrongEmphasis">
    <w:name w:val="Strong Emphasis"/>
    <w:qFormat/>
    <w:rPr>
      <w:b/>
      <w:bCs/>
    </w:rPr>
  </w:style>
  <w:style w:type="paragraph" w:styleId="ListParagraph">
    <w:name w:val="List Paragraph"/>
    <w:qFormat/>
  </w:style>
  <w:style w:type="paragraph" w:styleId="FootnoteText">
    <w:name w:val="footnote text"/>
    <w:basedOn w:val="Normal"/>
    <w:link w:val="FootnoteTextChar"/>
    <w:uiPriority w:val="99"/>
    <w:semiHidden/>
    <w:unhideWhenUsed/>
    <w:rPr>
      <w:sz w:val="20"/>
      <w:szCs w:val="20"/>
    </w:rPr>
  </w:style>
  <w:style w:type="paragraph" w:styleId="EndnoteText">
    <w:name w:val="endnote text"/>
    <w:basedOn w:val="Normal"/>
    <w:link w:val="EndnoteTextChar"/>
    <w:uiPriority w:val="99"/>
    <w:semiHidden/>
    <w:unhideWhenUsed/>
    <w:rPr>
      <w:sz w:val="20"/>
      <w:szCs w:val="20"/>
    </w:rPr>
  </w:style>
  <w:style w:type="paragraph" w:styleId="Header">
    <w:name w:val="header"/>
    <w:basedOn w:val="Normal"/>
    <w:link w:val="HeaderChar"/>
    <w:uiPriority w:val="99"/>
    <w:unhideWhenUsed/>
    <w:rsid w:val="00D35210"/>
    <w:pPr>
      <w:tabs>
        <w:tab w:val="center" w:pos="4513"/>
        <w:tab w:val="right" w:pos="9026"/>
      </w:tabs>
    </w:pPr>
    <w:rPr>
      <w:rFonts w:cs="Mangal"/>
      <w:szCs w:val="20"/>
    </w:rPr>
  </w:style>
  <w:style w:type="character" w:customStyle="1" w:styleId="HeaderChar">
    <w:name w:val="Header Char"/>
    <w:basedOn w:val="DefaultParagraphFont"/>
    <w:link w:val="Header"/>
    <w:uiPriority w:val="99"/>
    <w:rsid w:val="00D35210"/>
    <w:rPr>
      <w:rFonts w:cs="Mangal"/>
      <w:szCs w:val="20"/>
    </w:rPr>
  </w:style>
  <w:style w:type="paragraph" w:styleId="Footer">
    <w:name w:val="footer"/>
    <w:basedOn w:val="Normal"/>
    <w:link w:val="FooterChar"/>
    <w:uiPriority w:val="99"/>
    <w:unhideWhenUsed/>
    <w:rsid w:val="00D35210"/>
    <w:pPr>
      <w:tabs>
        <w:tab w:val="center" w:pos="4513"/>
        <w:tab w:val="right" w:pos="9026"/>
      </w:tabs>
    </w:pPr>
    <w:rPr>
      <w:rFonts w:cs="Mangal"/>
      <w:szCs w:val="20"/>
    </w:rPr>
  </w:style>
  <w:style w:type="character" w:customStyle="1" w:styleId="FooterChar">
    <w:name w:val="Footer Char"/>
    <w:basedOn w:val="DefaultParagraphFont"/>
    <w:link w:val="Footer"/>
    <w:uiPriority w:val="99"/>
    <w:rsid w:val="00D35210"/>
    <w:rPr>
      <w:rFonts w:cs="Mang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2910</Words>
  <Characters>16590</Characters>
  <Application>Microsoft Office Word</Application>
  <DocSecurity>0</DocSecurity>
  <Lines>138</Lines>
  <Paragraphs>38</Paragraphs>
  <ScaleCrop>false</ScaleCrop>
  <Company/>
  <LinksUpToDate>false</LinksUpToDate>
  <CharactersWithSpaces>19462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
  <cp:revision>1</cp:revision>
  <dcterms:created xsi:type="dcterms:W3CDTF">2026-07-18T07:12:00Z</dcterms:created>
  <dcterms:modified xsi:type="dcterms:W3CDTF">2026-07-18T07:14:00Z</dcterms:modified>
  <dc:language/>
</cp:coreProperties>
</file>